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docProps/custom.xml" ContentType="application/vnd.openxmlformats-officedocument.custom-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z w:val="72"/>
          <w:szCs w:val="72"/>
        </w:rPr>
      </w:pPr>
      <w:r>
        <w:rPr>
          <w:b/>
          <w:sz w:val="72"/>
          <w:szCs w:val="72"/>
          <w:rtl w:val="0"/>
        </w:rPr>
        <w:t xml:space="preserve"> FICHE ACTION VNE N°6d</w:t>
      </w:r>
      <w:r>
        <w:rPr>
          <w:b/>
          <w:sz w:val="72"/>
          <w:szCs w:val="72"/>
        </w:rPr>
      </w:r>
      <w:r>
        <w:rPr>
          <w:b/>
          <w:sz w:val="72"/>
          <w:szCs w:val="72"/>
        </w:rPr>
      </w:r>
    </w:p>
    <w:p>
      <w:pPr>
        <w:pBdr/>
        <w:spacing/>
        <w:ind/>
        <w:jc w:val="center"/>
        <w:rPr>
          <w:b/>
          <w:sz w:val="10"/>
          <w:szCs w:val="10"/>
        </w:rPr>
      </w:pPr>
      <w:r>
        <w:rPr>
          <w:rtl w:val="0"/>
        </w:rPr>
      </w:r>
      <w:r>
        <w:rPr>
          <w:b/>
          <w:sz w:val="10"/>
          <w:szCs w:val="10"/>
        </w:rPr>
      </w:r>
      <w:r>
        <w:rPr>
          <w:b/>
          <w:sz w:val="10"/>
          <w:szCs w:val="10"/>
        </w:rPr>
      </w:r>
    </w:p>
    <w:tbl>
      <w:tblPr>
        <w:tblStyle w:val="915"/>
        <w:tblW w:w="11220" w:type="dxa"/>
        <w:tblInd w:w="-1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00"/>
        <w:gridCol w:w="2970"/>
        <w:gridCol w:w="2655"/>
        <w:gridCol w:w="2595"/>
        <w:tblGridChange w:id="0">
          <w:tblGrid>
            <w:gridCol w:w="3000"/>
            <w:gridCol w:w="2970"/>
            <w:gridCol w:w="2655"/>
            <w:gridCol w:w="2595"/>
          </w:tblGrid>
        </w:tblGridChange>
      </w:tblGrid>
      <w:tr>
        <w:trPr>
          <w:cantSplit w:val="false"/>
          <w:trHeight w:val="510"/>
        </w:trPr>
        <w:tc>
          <w:tcPr>
            <w:tcBorders/>
            <w:vAlign w:val="center"/>
            <w:textDirection w:val="lrTb"/>
            <w:noWrap w:val="false"/>
          </w:tcPr>
          <w:p>
            <w:pPr>
              <w:pBdr/>
              <w:spacing w:after="0" w:before="0" w:line="240" w:lineRule="auto"/>
              <w:ind/>
              <w:rPr/>
            </w:pPr>
            <w:r>
              <w:rPr>
                <w:b/>
                <w:sz w:val="24"/>
                <w:szCs w:val="24"/>
                <w:rtl w:val="0"/>
              </w:rPr>
              <w:t xml:space="preserve">ENJEUX</w:t>
            </w:r>
            <w:r>
              <w:rPr>
                <w:rtl w:val="0"/>
              </w:rPr>
            </w:r>
            <w:r/>
          </w:p>
        </w:tc>
        <w:tc>
          <w:tcPr>
            <w:tcBorders/>
            <w:vAlign w:val="center"/>
            <w:textDirection w:val="lrTb"/>
            <w:noWrap w:val="false"/>
          </w:tcPr>
          <w:p>
            <w:pPr>
              <w:pBdr/>
              <w:spacing/>
              <w:ind/>
              <w:rPr>
                <w:sz w:val="20"/>
                <w:szCs w:val="20"/>
              </w:rPr>
            </w:pPr>
            <w:r/>
            <w:bookmarkStart w:id="0" w:name="_n33g5qsgodkw"/>
            <w:r/>
            <w:bookmarkEnd w:id="0"/>
            <w:r>
              <w:rPr>
                <w:sz w:val="20"/>
                <w:szCs w:val="20"/>
              </w:rPr>
              <mc:AlternateContent>
                <mc:Choice Requires="wpg">
                  <w:drawing>
                    <wp:inline xmlns:wp="http://schemas.openxmlformats.org/drawingml/2006/wordprocessingDrawing" distT="0" distB="0" distL="0" distR="0">
                      <wp:extent cx="540000" cy="5400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ic:nvPr/>
                            </pic:nvPicPr>
                            <pic:blipFill>
                              <a:blip r:embed="rId9"/>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2.52pt;height:42.52pt;mso-wrap-distance-left:0.00pt;mso-wrap-distance-top:0.00pt;mso-wrap-distance-right:0.00pt;mso-wrap-distance-bottom:0.00pt;z-index:1;">
                      <v:imagedata r:id="rId9" o:title="" croptop="0f" cropleft="0f" cropbottom="0f" cropright="0f"/>
                      <o:lock v:ext="edit" rotation="t"/>
                    </v:shape>
                  </w:pict>
                </mc:Fallback>
              </mc:AlternateContent>
            </w:r>
            <w:r>
              <w:rPr>
                <w:sz w:val="20"/>
                <w:szCs w:val="20"/>
              </w:rPr>
            </w:r>
            <w:r>
              <w:rPr>
                <w:sz w:val="20"/>
                <w:szCs w:val="20"/>
              </w:rPr>
            </w:r>
          </w:p>
        </w:tc>
        <w:tc>
          <w:tcPr>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b/>
              </w:rPr>
            </w:pPr>
            <w:r>
              <w:rPr>
                <w:b/>
                <w:rtl w:val="0"/>
              </w:rPr>
              <w:t xml:space="preserve">AXES STRATÉGIQUES</w:t>
            </w:r>
            <w:r>
              <w:rPr>
                <w:b/>
              </w:rPr>
            </w:r>
            <w:r>
              <w:rPr>
                <w:b/>
              </w:rPr>
            </w:r>
          </w:p>
        </w:tc>
        <w:tc>
          <w:tcPr>
            <w:tcBorders/>
            <w:vAlign w:val="center"/>
            <w:textDirection w:val="lrTb"/>
            <w:noWrap w:val="false"/>
          </w:tcPr>
          <w:p>
            <w:pPr>
              <w:keepNext w:val="false"/>
              <w:keepLines w:val="false"/>
              <w:pageBreakBefore w:val="false"/>
              <w:widowControl w:val="fals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e63946"/>
              </w:rPr>
            </w:pPr>
            <w:r>
              <w:rPr>
                <w:shd w:val="clear" w:color="auto" w:fill="e63946"/>
                <w:rtl w:val="0"/>
              </w:rPr>
              <w:t xml:space="preserve">AXE I</w:t>
            </w:r>
            <w:r>
              <w:rPr>
                <w:shd w:val="clear" w:color="auto" w:fill="e63946"/>
              </w:rPr>
            </w:r>
            <w:r>
              <w:rPr>
                <w:shd w:val="clear" w:color="auto" w:fill="e63946"/>
              </w:rPr>
            </w:r>
          </w:p>
          <w:p>
            <w:pPr>
              <w:keepNext w:val="false"/>
              <w:keepLines w:val="false"/>
              <w:pageBreakBefore w:val="false"/>
              <w:widowControl w:val="fals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457b9d"/>
              </w:rPr>
            </w:pPr>
            <w:r>
              <w:rPr>
                <w:shd w:val="clear" w:color="auto" w:fill="457b9d"/>
                <w:rtl w:val="0"/>
              </w:rPr>
              <w:t xml:space="preserve">AXE II</w:t>
            </w:r>
            <w:r>
              <w:rPr>
                <w:shd w:val="clear" w:color="auto" w:fill="457b9d"/>
              </w:rPr>
            </w:r>
            <w:r>
              <w:rPr>
                <w:shd w:val="clear" w:color="auto" w:fill="457b9d"/>
              </w:rPr>
            </w:r>
          </w:p>
        </w:tc>
      </w:tr>
      <w:tr>
        <w:trPr>
          <w:cantSplit w:val="false"/>
          <w:trHeight w:val="510"/>
        </w:trPr>
        <w:tc>
          <w:tcPr>
            <w:shd w:val="clear" w:color="auto" w:fill="b6d7a8"/>
            <w:tcBorders/>
            <w:vAlign w:val="center"/>
            <w:textDirection w:val="lrTb"/>
            <w:noWrap w:val="false"/>
          </w:tcPr>
          <w:p>
            <w:pPr>
              <w:pBdr/>
              <w:spacing/>
              <w:ind/>
              <w:rPr>
                <w:b/>
                <w:sz w:val="24"/>
                <w:szCs w:val="24"/>
              </w:rPr>
            </w:pPr>
            <w:r>
              <w:rPr>
                <w:b/>
                <w:sz w:val="24"/>
                <w:szCs w:val="24"/>
                <w:rtl w:val="0"/>
              </w:rPr>
              <w:t xml:space="preserve">ÉTAT D’AVANCEMENT</w:t>
            </w:r>
            <w:r>
              <w:rPr>
                <w:b/>
                <w:sz w:val="24"/>
                <w:szCs w:val="24"/>
              </w:rPr>
            </w:r>
            <w:r>
              <w:rPr>
                <w:b/>
                <w:sz w:val="24"/>
                <w:szCs w:val="24"/>
              </w:rPr>
            </w:r>
          </w:p>
        </w:tc>
        <w:tc>
          <w:tcPr>
            <w:gridSpan w:val="3"/>
            <w:shd w:val="clear" w:color="auto" w:fill="b6d7a8"/>
            <w:tcBorders/>
            <w:vAlign w:val="center"/>
            <w:textDirection w:val="lrTb"/>
            <w:noWrap w:val="false"/>
          </w:tcPr>
          <w:p>
            <w:pPr>
              <w:pBdr/>
              <w:spacing w:after="0" w:before="0" w:line="240" w:lineRule="auto"/>
              <w:ind/>
              <w:rPr/>
            </w:pPr>
            <w:r>
              <w:rPr>
                <w:rtl w:val="0"/>
              </w:rPr>
              <w:t xml:space="preserve">Attente validation CD83</w:t>
            </w:r>
            <w:r/>
          </w:p>
        </w:tc>
      </w:tr>
      <w:tr>
        <w:trPr>
          <w:cantSplit w:val="false"/>
          <w:trHeight w:val="510"/>
        </w:trPr>
        <w:tc>
          <w:tcPr>
            <w:shd w:val="clear" w:color="auto" w:fill="b497d6"/>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NOM DE LA FICHE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b497d6"/>
            <w:tcBorders/>
            <w:vAlign w:val="center"/>
            <w:textDirection w:val="lrTb"/>
            <w:noWrap w:val="false"/>
          </w:tcPr>
          <w:p>
            <w:pPr>
              <w:pBdr/>
              <w:spacing w:after="0" w:before="0" w:line="240" w:lineRule="auto"/>
              <w:ind/>
              <w:rPr/>
            </w:pPr>
            <w:r>
              <w:rPr>
                <w:rtl w:val="0"/>
              </w:rPr>
              <w:t xml:space="preserve">Identification des professionnels de la médiation numérique, évaluation des compétences</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PILOTE(S) / PORTEUR(S)</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CD83</w:t>
            </w:r>
            <w:r>
              <w:rPr>
                <w:rtl w:val="0"/>
              </w:rPr>
              <w:t xml:space="preserve"> (SDN)</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SUPPORTS/PARTENAIRES/ PRESTATAIRES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Référencement : </w:t>
              <w:br/>
              <w:t xml:space="preserve">MDV -&gt; médiateurs en médiathèque</w:t>
              <w:br/>
              <w:t xml:space="preserve">Union Départementale des CCAS -&gt; médiateurs en CCAS</w:t>
              <w:br/>
              <w:t xml:space="preserve">DASP -&gt; médiateurs dans les associations du Var </w:t>
              <w:br/>
              <w:t xml:space="preserve">France Services (via coordinateur)-&gt; médiateurs en FS</w:t>
            </w:r>
            <w:r/>
          </w:p>
          <w:p>
            <w:pPr>
              <w:pBdr/>
              <w:spacing/>
              <w:ind/>
              <w:rPr/>
            </w:pPr>
            <w:r>
              <w:rPr>
                <w:rtl w:val="0"/>
              </w:rPr>
              <w:t xml:space="preserve">Evaluation :</w:t>
              <w:br/>
            </w:r>
            <w:r>
              <w:rPr>
                <w:rtl w:val="0"/>
              </w:rPr>
              <w:t xml:space="preserve">Prestataire local ou </w:t>
            </w:r>
            <w:r>
              <w:rPr>
                <w:rtl w:val="0"/>
              </w:rPr>
              <w:t xml:space="preserve">La Fabrik’ </w:t>
            </w:r>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CONTRIBUTEURS/ACTEURS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Toutes les structures porteuses de médiateur numérique</w:t>
            </w:r>
            <w:r/>
          </w:p>
        </w:tc>
      </w:tr>
      <w:tr>
        <w:trPr>
          <w:cantSplit w:val="false"/>
          <w:trHeight w:val="510"/>
        </w:trPr>
        <w:tc>
          <w:tcPr>
            <w:shd w:val="clear" w:color="auto" w:fill="auto"/>
            <w:tcBorders/>
            <w:vAlign w:val="center"/>
            <w:textDirection w:val="lrTb"/>
            <w:noWrap w:val="false"/>
          </w:tcPr>
          <w:p>
            <w:pPr>
              <w:pBdr/>
              <w:spacing w:after="0" w:before="0" w:line="240" w:lineRule="auto"/>
              <w:ind/>
              <w:rPr/>
            </w:pPr>
            <w:r>
              <w:rPr>
                <w:b/>
                <w:sz w:val="24"/>
                <w:szCs w:val="24"/>
                <w:rtl w:val="0"/>
              </w:rPr>
              <w:t xml:space="preserve">ACTION</w:t>
            </w:r>
            <w:r>
              <w:rPr>
                <w:rtl w:val="0"/>
              </w:rPr>
            </w:r>
            <w:r/>
          </w:p>
        </w:tc>
        <w:tc>
          <w:tcPr>
            <w:shd w:val="clear" w:color="auto" w:fill="auto"/>
            <w:tcBorders/>
            <w:vAlign w:val="center"/>
            <w:textDirection w:val="lrTb"/>
            <w:noWrap w:val="false"/>
          </w:tcPr>
          <w:p>
            <w:pPr>
              <w:numPr>
                <w:ilvl w:val="0"/>
                <w:numId w:val="8"/>
              </w:numPr>
              <w:pBdr/>
              <w:spacing w:after="0" w:before="0" w:line="240" w:lineRule="auto"/>
              <w:ind w:hanging="360" w:left="720"/>
              <w:rPr>
                <w:sz w:val="24"/>
                <w:szCs w:val="24"/>
                <w:u w:val="none"/>
              </w:rPr>
            </w:pPr>
            <w:r>
              <w:rPr>
                <w:sz w:val="24"/>
                <w:szCs w:val="24"/>
                <w:rtl w:val="0"/>
              </w:rPr>
              <w:t xml:space="preserve">NOUVELLE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3"/>
              </w:numPr>
              <w:pBdr/>
              <w:spacing w:after="0" w:before="0" w:line="240" w:lineRule="auto"/>
              <w:ind w:hanging="360" w:left="720"/>
              <w:rPr>
                <w:sz w:val="24"/>
                <w:szCs w:val="24"/>
                <w:u w:val="none"/>
              </w:rPr>
            </w:pPr>
            <w:r>
              <w:rPr>
                <w:sz w:val="24"/>
                <w:szCs w:val="24"/>
                <w:rtl w:val="0"/>
              </w:rPr>
              <w:t xml:space="preserve">EN COURS D’ÉLABORATION</w:t>
            </w:r>
            <w:r>
              <w:rPr>
                <w:sz w:val="24"/>
                <w:szCs w:val="24"/>
                <w:u w:val="none"/>
              </w:rPr>
            </w:r>
            <w:r>
              <w:rPr>
                <w:sz w:val="24"/>
                <w:szCs w:val="24"/>
                <w:u w:val="none"/>
              </w:rPr>
            </w:r>
          </w:p>
        </w:tc>
        <w:tc>
          <w:tcPr>
            <w:shd w:val="clear" w:color="auto" w:fill="auto"/>
            <w:tcBorders/>
            <w:vAlign w:val="center"/>
            <w:textDirection w:val="lrTb"/>
            <w:noWrap w:val="false"/>
          </w:tcPr>
          <w:p>
            <w:pPr>
              <w:numPr>
                <w:ilvl w:val="0"/>
                <w:numId w:val="3"/>
              </w:numPr>
              <w:pBdr/>
              <w:spacing/>
              <w:ind w:hanging="360" w:left="720"/>
              <w:rPr>
                <w:sz w:val="24"/>
                <w:szCs w:val="24"/>
              </w:rPr>
            </w:pPr>
            <w:r>
              <w:rPr>
                <w:sz w:val="24"/>
                <w:szCs w:val="24"/>
                <w:rtl w:val="0"/>
              </w:rPr>
              <w:t xml:space="preserve">DÉJÀ ENGAGÉE</w:t>
            </w:r>
            <w:r>
              <w:rPr>
                <w:sz w:val="24"/>
                <w:szCs w:val="24"/>
              </w:rPr>
            </w:r>
            <w:r>
              <w:rPr>
                <w:sz w:val="24"/>
                <w:szCs w:val="24"/>
              </w:rPr>
            </w:r>
          </w:p>
        </w:tc>
      </w:tr>
      <w:tr>
        <w:trPr>
          <w:cantSplit w:val="false"/>
          <w:trHeight w:val="1043"/>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b/>
                <w:sz w:val="24"/>
                <w:szCs w:val="24"/>
                <w:rtl w:val="0"/>
              </w:rPr>
              <w:t xml:space="preserve">DIAGNOSTIC</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rFonts w:ascii="Calibri" w:hAnsi="Calibri" w:eastAsia="Calibri" w:cs="Calibri"/>
                <w:sz w:val="24"/>
                <w:szCs w:val="24"/>
              </w:rPr>
            </w:pPr>
            <w:r>
              <w:rPr>
                <w:sz w:val="24"/>
                <w:szCs w:val="24"/>
                <w:rtl w:val="0"/>
              </w:rPr>
              <w:t xml:space="preserve">CONSTATS</w:t>
            </w:r>
            <w:r>
              <w:rPr>
                <w:rFonts w:ascii="Calibri" w:hAnsi="Calibri" w:eastAsia="Calibri" w:cs="Calibri"/>
                <w:sz w:val="24"/>
                <w:szCs w:val="24"/>
              </w:rPr>
            </w:r>
            <w:r>
              <w:rPr>
                <w:rFonts w:ascii="Calibri" w:hAnsi="Calibri" w:eastAsia="Calibri" w:cs="Calibri"/>
                <w:sz w:val="24"/>
                <w:szCs w:val="24"/>
              </w:rPr>
            </w:r>
          </w:p>
        </w:tc>
        <w:tc>
          <w:tcPr>
            <w:gridSpan w:val="2"/>
            <w:shd w:val="clear" w:color="auto" w:fill="auto"/>
            <w:tcBorders/>
            <w:vAlign w:val="center"/>
            <w:textDirection w:val="lrTb"/>
            <w:noWrap w:val="false"/>
          </w:tcPr>
          <w:p>
            <w:pPr>
              <w:pBdr/>
              <w:spacing/>
              <w:ind/>
              <w:jc w:val="both"/>
              <w:rPr/>
            </w:pPr>
            <w:r>
              <w:rPr>
                <w:rtl w:val="0"/>
              </w:rPr>
              <w:t xml:space="preserve">La mission d’un médiateur numérique n’est pas nouvelle. Depuis des années, des personnes mè</w:t>
            </w:r>
            <w:r>
              <w:rPr>
                <w:rtl w:val="0"/>
              </w:rPr>
              <w:t xml:space="preserve">nent des actions de médiation numérique. Ces personnes sont de profils très variés, de l’ancien technicien informatique en passant par le jeune en service civique ou le bibliothécaire ayant une appétence pour le numérique, il n’existe pas de “profil type”.</w:t>
            </w:r>
            <w:r/>
          </w:p>
          <w:p>
            <w:pPr>
              <w:pBdr/>
              <w:spacing/>
              <w:ind/>
              <w:jc w:val="both"/>
              <w:rPr/>
            </w:pPr>
            <w:r>
              <w:rPr>
                <w:rtl w:val="0"/>
              </w:rPr>
              <w:t xml:space="preserve">Depuis 2021, suite à la mise en place des 4000 conseillers numériques impuls</w:t>
            </w:r>
            <w:r>
              <w:rPr>
                <w:rtl w:val="0"/>
              </w:rPr>
              <w:t xml:space="preserve">ée par l’Etat le “Conseiller Numérique” est considéré comme le maître étalon de ce qu’est un médiateur numérique grâce à sa formation initiale transversale (numérique, pédagogie/andragogie, ingénierie sociale) et aux formations continues dont il bénéficie.</w:t>
            </w:r>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pPr>
            <w:r>
              <w:rPr>
                <w:sz w:val="24"/>
                <w:szCs w:val="24"/>
                <w:rtl w:val="0"/>
              </w:rPr>
              <w:t xml:space="preserve">ENJEUX</w:t>
            </w:r>
            <w:r>
              <w:rPr>
                <w:rtl w:val="0"/>
              </w:rPr>
            </w:r>
            <w:r/>
          </w:p>
        </w:tc>
        <w:tc>
          <w:tcPr>
            <w:gridSpan w:val="2"/>
            <w:shd w:val="clear" w:color="auto" w:fill="auto"/>
            <w:tcBorders/>
            <w:vAlign w:val="center"/>
            <w:textDirection w:val="lrTb"/>
            <w:noWrap w:val="false"/>
          </w:tcPr>
          <w:p>
            <w:pPr>
              <w:pBdr/>
              <w:spacing/>
              <w:ind/>
              <w:rPr/>
            </w:pPr>
            <w:r>
              <w:rPr>
                <w:rtl w:val="0"/>
              </w:rPr>
              <w:t xml:space="preserve">L’enjeux ici est une équité territoriale en termes de qualité de service. Pour répondre à </w:t>
            </w:r>
            <w:r>
              <w:rPr>
                <w:rtl w:val="0"/>
              </w:rPr>
              <w:t xml:space="preserve">cet</w:t>
            </w:r>
            <w:r>
              <w:rPr>
                <w:rtl w:val="0"/>
              </w:rPr>
              <w:t xml:space="preserve"> enjeux, il y a donc </w:t>
            </w:r>
            <w:r/>
          </w:p>
          <w:p>
            <w:pPr>
              <w:numPr>
                <w:ilvl w:val="0"/>
                <w:numId w:val="11"/>
              </w:numPr>
              <w:pBdr/>
              <w:spacing/>
              <w:ind w:hanging="360" w:left="720"/>
              <w:rPr>
                <w:u w:val="none"/>
              </w:rPr>
            </w:pPr>
            <w:r>
              <w:rPr>
                <w:rtl w:val="0"/>
              </w:rPr>
              <w:t xml:space="preserve">un enjeu de référencement</w:t>
            </w:r>
            <w:r>
              <w:rPr>
                <w:u w:val="none"/>
              </w:rPr>
            </w:r>
            <w:r>
              <w:rPr>
                <w:u w:val="none"/>
              </w:rPr>
            </w:r>
          </w:p>
          <w:p>
            <w:pPr>
              <w:numPr>
                <w:ilvl w:val="0"/>
                <w:numId w:val="11"/>
              </w:numPr>
              <w:pBdr/>
              <w:spacing/>
              <w:ind w:hanging="360" w:left="720"/>
              <w:rPr>
                <w:u w:val="none"/>
              </w:rPr>
            </w:pPr>
            <w:r>
              <w:rPr>
                <w:rtl w:val="0"/>
              </w:rPr>
              <w:t xml:space="preserve">un enjeu </w:t>
            </w:r>
            <w:r>
              <w:rPr>
                <w:rtl w:val="0"/>
              </w:rPr>
              <w:t xml:space="preserve">d'évaluation</w:t>
            </w:r>
            <w:r>
              <w:rPr>
                <w:rtl w:val="0"/>
              </w:rPr>
              <w:t xml:space="preserve"> des compétences des médiateurs numériques</w:t>
            </w:r>
            <w:r>
              <w:rPr>
                <w:u w:val="none"/>
              </w:rPr>
            </w:r>
            <w:r>
              <w:rPr>
                <w:u w:val="none"/>
              </w:rPr>
            </w:r>
          </w:p>
          <w:p>
            <w:pPr>
              <w:numPr>
                <w:ilvl w:val="0"/>
                <w:numId w:val="11"/>
              </w:numPr>
              <w:pBdr/>
              <w:spacing/>
              <w:ind w:hanging="360" w:left="720"/>
              <w:rPr>
                <w:u w:val="none"/>
              </w:rPr>
            </w:pPr>
            <w:r>
              <w:rPr>
                <w:rtl w:val="0"/>
              </w:rPr>
              <w:t xml:space="preserve">un enjeu de formation</w:t>
            </w:r>
            <w:r>
              <w:rPr>
                <w:u w:val="none"/>
              </w:rPr>
            </w:r>
            <w:r>
              <w:rPr>
                <w:u w:val="none"/>
              </w:rPr>
            </w:r>
          </w:p>
        </w:tc>
      </w:tr>
      <w:tr>
        <w:trPr>
          <w:cantSplit w:val="false"/>
          <w:trHeight w:val="1190"/>
        </w:trPr>
        <w:tc>
          <w:tcPr>
            <w:shd w:val="clear" w:color="auto" w:fill="auto"/>
            <w:tcBorders/>
            <w:vAlign w:val="center"/>
            <w:vMerge w:val="restart"/>
            <w:textDirection w:val="lrTb"/>
            <w:noWrap w:val="false"/>
          </w:tcPr>
          <w:p>
            <w:pPr>
              <w:widowControl w:val="false"/>
              <w:pBdr/>
              <w:spacing w:line="276" w:lineRule="auto"/>
              <w:ind/>
              <w:rPr>
                <w:b/>
              </w:rPr>
            </w:pPr>
            <w:r>
              <w:rPr>
                <w:b/>
                <w:rtl w:val="0"/>
              </w:rPr>
              <w:t xml:space="preserve">RÉPONSE À DEMANDE</w:t>
            </w:r>
            <w:r>
              <w:rPr>
                <w:b/>
              </w:rPr>
            </w:r>
            <w:r>
              <w:rPr>
                <w:b/>
              </w:rPr>
            </w:r>
          </w:p>
        </w:tc>
        <w:tc>
          <w:tcPr>
            <w:shd w:val="clear" w:color="auto" w:fill="auto"/>
            <w:tcBorders/>
            <w:vAlign w:val="center"/>
            <w:textDirection w:val="lrTb"/>
            <w:noWrap w:val="false"/>
          </w:tcPr>
          <w:p>
            <w:pPr>
              <w:pBdr/>
              <w:spacing/>
              <w:ind/>
              <w:rPr>
                <w:sz w:val="24"/>
                <w:szCs w:val="24"/>
              </w:rPr>
            </w:pPr>
            <w:r>
              <w:rPr>
                <w:sz w:val="24"/>
                <w:szCs w:val="24"/>
                <w:rtl w:val="0"/>
              </w:rPr>
              <w:t xml:space="preserve">FNE</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11 - Développer la formation continue des conseillers numériques pour adapter leurs compétences aux réalités opérationnelles</w:t>
              <w:br/>
              <w:t xml:space="preserve">12 - Améliorer la reconnaissance du statut d'aidant professionnel</w:t>
            </w:r>
            <w:r/>
          </w:p>
        </w:tc>
      </w:tr>
      <w:tr>
        <w:trPr>
          <w:cantSplit w:val="false"/>
          <w:trHeight w:val="1190"/>
        </w:trPr>
        <w:tc>
          <w:tcPr>
            <w:shd w:val="clear" w:color="auto" w:fill="auto"/>
            <w:tcBorders/>
            <w:vAlign w:val="center"/>
            <w:vMerge w:val="continue"/>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OBJECTIFS OPÉRATIONNELS</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SÉNAT</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Proposition n° 27 : Forger une véritable filière de médiateurs numériques , par le lancement d'un plan national de formation et par une meilleure reconnaissance du métier de médiateur numérique en :</w:t>
              <w:br/>
              <w:t xml:space="preserve">- assurant leur formation continue permanente ;</w:t>
            </w:r>
            <w:r/>
          </w:p>
        </w:tc>
      </w:tr>
      <w:tr>
        <w:trPr>
          <w:cantSplit w:val="false"/>
          <w:trHeight w:val="510"/>
        </w:trPr>
        <w:tc>
          <w:tcPr>
            <w:shd w:val="clear" w:color="auto" w:fill="auto"/>
            <w:tcBorders/>
            <w:vAlign w:val="center"/>
            <w:vMerge w:val="continue"/>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DESCRIPTIF DE L’ACTION</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COMMISSION</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RAS</w:t>
            </w:r>
            <w:r/>
          </w:p>
        </w:tc>
      </w:tr>
      <w:tr>
        <w:trPr>
          <w:cantSplit w:val="false"/>
          <w:trHeight w:val="510"/>
        </w:trPr>
        <w:tc>
          <w:tcPr>
            <w:shd w:val="clear" w:color="auto" w:fill="auto"/>
            <w:tcBorders/>
            <w:vAlign w:val="center"/>
            <w:textDirection w:val="lrTb"/>
            <w:noWrap w:val="false"/>
          </w:tcPr>
          <w:p>
            <w:pPr>
              <w:pBdr/>
              <w:spacing/>
              <w:ind/>
              <w:rPr/>
            </w:pPr>
            <w:r>
              <w:rPr>
                <w:b/>
                <w:sz w:val="24"/>
                <w:szCs w:val="24"/>
                <w:rtl w:val="0"/>
              </w:rPr>
              <w:t xml:space="preserve">OBJECTIFS OPÉRATIONNELS</w:t>
            </w:r>
            <w:r>
              <w:rPr>
                <w:rtl w:val="0"/>
              </w:rPr>
            </w: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numPr>
                <w:ilvl w:val="0"/>
                <w:numId w:val="1"/>
              </w:numPr>
              <w:pBdr/>
              <w:spacing/>
              <w:ind w:hanging="360" w:left="720"/>
              <w:rPr/>
            </w:pPr>
            <w:r>
              <w:rPr>
                <w:rtl w:val="0"/>
              </w:rPr>
              <w:t xml:space="preserve">Référencer tous les médiateurs numériques dans Var Numérique Ensemble</w:t>
            </w:r>
            <w:r/>
          </w:p>
          <w:p>
            <w:pPr>
              <w:numPr>
                <w:ilvl w:val="0"/>
                <w:numId w:val="1"/>
              </w:numPr>
              <w:pBdr/>
              <w:spacing/>
              <w:ind w:hanging="360" w:left="720"/>
              <w:rPr/>
            </w:pPr>
            <w:r>
              <w:rPr>
                <w:rtl w:val="0"/>
              </w:rPr>
              <w:t xml:space="preserve">Évaluer leurs compétences</w:t>
            </w:r>
            <w:r/>
          </w:p>
          <w:p>
            <w:pPr>
              <w:numPr>
                <w:ilvl w:val="1"/>
                <w:numId w:val="1"/>
              </w:numPr>
              <w:pBdr/>
              <w:spacing/>
              <w:ind w:hanging="360" w:left="1440"/>
              <w:rPr/>
            </w:pPr>
            <w:r>
              <w:rPr>
                <w:rtl w:val="0"/>
              </w:rPr>
              <w:t xml:space="preserve">Savoir numérique</w:t>
            </w:r>
            <w:r/>
          </w:p>
          <w:p>
            <w:pPr>
              <w:numPr>
                <w:ilvl w:val="1"/>
                <w:numId w:val="1"/>
              </w:numPr>
              <w:pBdr/>
              <w:spacing/>
              <w:ind w:hanging="360" w:left="1440"/>
              <w:rPr/>
            </w:pPr>
            <w:r>
              <w:rPr>
                <w:rtl w:val="0"/>
              </w:rPr>
              <w:t xml:space="preserve">Savoir pédagogique/andragogique</w:t>
            </w:r>
            <w:r/>
          </w:p>
          <w:p>
            <w:pPr>
              <w:numPr>
                <w:ilvl w:val="1"/>
                <w:numId w:val="1"/>
              </w:numPr>
              <w:pBdr/>
              <w:spacing/>
              <w:ind w:hanging="360" w:left="1440"/>
              <w:rPr/>
            </w:pPr>
            <w:r>
              <w:rPr>
                <w:rtl w:val="0"/>
              </w:rPr>
              <w:t xml:space="preserve">Savoir ingénierie sociale</w:t>
            </w:r>
            <w:r/>
          </w:p>
          <w:p>
            <w:pPr>
              <w:numPr>
                <w:ilvl w:val="0"/>
                <w:numId w:val="1"/>
              </w:numPr>
              <w:pBdr/>
              <w:spacing/>
              <w:ind w:hanging="360" w:left="720"/>
              <w:rPr>
                <w:u w:val="none"/>
              </w:rPr>
            </w:pPr>
            <w:r>
              <w:rPr>
                <w:rtl w:val="0"/>
              </w:rPr>
              <w:t xml:space="preserve">Récupérer l’expression de leur besoin de formation</w:t>
            </w:r>
            <w:r>
              <w:rPr>
                <w:u w:val="none"/>
              </w:rPr>
            </w:r>
            <w:r>
              <w:rPr>
                <w:u w:val="none"/>
              </w:rPr>
            </w:r>
          </w:p>
          <w:p>
            <w:pPr>
              <w:numPr>
                <w:ilvl w:val="0"/>
                <w:numId w:val="1"/>
              </w:numPr>
              <w:pBdr/>
              <w:spacing/>
              <w:ind w:hanging="360" w:left="720"/>
              <w:rPr>
                <w:u w:val="none"/>
              </w:rPr>
            </w:pPr>
            <w:r>
              <w:rPr>
                <w:rtl w:val="0"/>
              </w:rPr>
              <w:t xml:space="preserve">Former les médiateurs numériques</w:t>
            </w:r>
            <w:r>
              <w:rPr>
                <w:u w:val="none"/>
              </w:rPr>
            </w:r>
            <w:r>
              <w:rPr>
                <w:u w:val="none"/>
              </w:rP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DESCRIPTIF DE L’ACTION</w:t>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pBdr/>
              <w:tabs>
                <w:tab w:val="left" w:leader="none" w:pos="0"/>
              </w:tabs>
              <w:spacing w:line="276" w:lineRule="auto"/>
              <w:ind/>
              <w:jc w:val="both"/>
              <w:rPr/>
            </w:pPr>
            <w:r>
              <w:rPr>
                <w:rtl w:val="0"/>
              </w:rPr>
              <w:t xml:space="preserve">Il faut d’abord identifier les médiateurs numériques. Pour ce faire plusieurs pistes : </w:t>
            </w:r>
            <w:r/>
          </w:p>
          <w:p>
            <w:pPr>
              <w:numPr>
                <w:ilvl w:val="0"/>
                <w:numId w:val="7"/>
              </w:numPr>
              <w:pBdr/>
              <w:tabs>
                <w:tab w:val="left" w:leader="none" w:pos="0"/>
              </w:tabs>
              <w:spacing w:line="276" w:lineRule="auto"/>
              <w:ind w:hanging="360" w:left="720"/>
              <w:jc w:val="both"/>
              <w:rPr>
                <w:u w:val="none"/>
              </w:rPr>
            </w:pPr>
            <w:r>
              <w:rPr>
                <w:rtl w:val="0"/>
              </w:rPr>
              <w:t xml:space="preserve">S’appuyer sur tout le travail de recensement réalisé jusqu’à maintenant</w:t>
            </w:r>
            <w:r>
              <w:rPr>
                <w:u w:val="none"/>
              </w:rPr>
            </w:r>
            <w:r>
              <w:rPr>
                <w:u w:val="none"/>
              </w:rPr>
            </w:r>
          </w:p>
          <w:p>
            <w:pPr>
              <w:numPr>
                <w:ilvl w:val="0"/>
                <w:numId w:val="7"/>
              </w:numPr>
              <w:pBdr/>
              <w:tabs>
                <w:tab w:val="left" w:leader="none" w:pos="0"/>
              </w:tabs>
              <w:spacing w:line="276" w:lineRule="auto"/>
              <w:ind w:hanging="360" w:left="720"/>
              <w:jc w:val="both"/>
              <w:rPr>
                <w:u w:val="none"/>
              </w:rPr>
            </w:pPr>
            <w:r>
              <w:rPr>
                <w:rtl w:val="0"/>
              </w:rPr>
              <w:t xml:space="preserve">Identifier les structures susceptibles de porter ce genre de poste (médiathèques, CCAS, associations,etc.)</w:t>
            </w:r>
            <w:r>
              <w:rPr>
                <w:u w:val="none"/>
              </w:rPr>
            </w:r>
            <w:r>
              <w:rPr>
                <w:u w:val="none"/>
              </w:rPr>
            </w:r>
          </w:p>
          <w:p>
            <w:pPr>
              <w:pBdr/>
              <w:tabs>
                <w:tab w:val="left" w:leader="none" w:pos="0"/>
              </w:tabs>
              <w:spacing w:line="276" w:lineRule="auto"/>
              <w:ind/>
              <w:jc w:val="both"/>
              <w:rPr/>
            </w:pPr>
            <w:r>
              <w:rPr>
                <w:rtl w:val="0"/>
              </w:rPr>
            </w:r>
            <w:r/>
          </w:p>
          <w:p>
            <w:pPr>
              <w:pBdr/>
              <w:tabs>
                <w:tab w:val="left" w:leader="none" w:pos="0"/>
              </w:tabs>
              <w:spacing w:line="276" w:lineRule="auto"/>
              <w:ind/>
              <w:jc w:val="both"/>
              <w:rPr/>
            </w:pPr>
            <w:r>
              <w:rPr>
                <w:rtl w:val="0"/>
              </w:rPr>
              <w:t xml:space="preserve">Ensuite vient l’évaluation.</w:t>
            </w:r>
            <w:r/>
          </w:p>
          <w:p>
            <w:pPr>
              <w:pBdr/>
              <w:tabs>
                <w:tab w:val="left" w:leader="none" w:pos="0"/>
              </w:tabs>
              <w:spacing w:line="276" w:lineRule="auto"/>
              <w:ind/>
              <w:jc w:val="both"/>
              <w:rPr/>
            </w:pPr>
            <w:r>
              <w:rPr>
                <w:rtl w:val="0"/>
              </w:rPr>
              <w:t xml:space="preserve">La Fabrik’ du Numérique est le récipiendaire du Lot 1 “Formation Initiale” des CoNum. À ce titre, ils ont développé les moyens d’évaluation du niveau initial d’un futur CoNum pour déterminer un parcours de formation.</w:t>
            </w:r>
            <w:r/>
          </w:p>
          <w:p>
            <w:pPr>
              <w:pBdr/>
              <w:tabs>
                <w:tab w:val="left" w:leader="none" w:pos="0"/>
              </w:tabs>
              <w:spacing w:line="276" w:lineRule="auto"/>
              <w:ind/>
              <w:jc w:val="both"/>
              <w:rPr/>
            </w:pPr>
            <w:r>
              <w:rPr>
                <w:rtl w:val="0"/>
              </w:rPr>
              <w:t xml:space="preserve">C’est sûr ces outils, ou ce qui en est fait, que la démarche doit s’appuyer.</w:t>
            </w:r>
            <w:r/>
          </w:p>
          <w:p>
            <w:pPr>
              <w:pBdr/>
              <w:tabs>
                <w:tab w:val="left" w:leader="none" w:pos="0"/>
              </w:tabs>
              <w:spacing w:line="276" w:lineRule="auto"/>
              <w:ind/>
              <w:jc w:val="both"/>
              <w:rPr/>
            </w:pPr>
            <w:r>
              <w:rPr>
                <w:rtl w:val="0"/>
              </w:rPr>
            </w:r>
            <w:r/>
          </w:p>
          <w:p>
            <w:pPr>
              <w:pBdr/>
              <w:tabs>
                <w:tab w:val="left" w:leader="none" w:pos="0"/>
              </w:tabs>
              <w:spacing w:line="276" w:lineRule="auto"/>
              <w:ind/>
              <w:jc w:val="both"/>
              <w:rPr/>
            </w:pPr>
            <w:r>
              <w:rPr>
                <w:rtl w:val="0"/>
              </w:rPr>
              <w:t xml:space="preserve">Si cela n’est pas possible, il existe d’autres ressources disponibles qu’il faudra identifier et exploiter pour développer notre </w:t>
            </w:r>
            <w:r>
              <w:rPr>
                <w:rtl w:val="0"/>
              </w:rPr>
              <w:t xml:space="preserve">propre</w:t>
            </w:r>
            <w:r>
              <w:rPr>
                <w:rtl w:val="0"/>
              </w:rPr>
              <w:t xml:space="preserve"> outil d’évaluation.</w:t>
            </w:r>
            <w:r/>
          </w:p>
          <w:p>
            <w:pPr>
              <w:pBdr/>
              <w:tabs>
                <w:tab w:val="left" w:leader="none" w:pos="0"/>
              </w:tabs>
              <w:spacing w:line="276" w:lineRule="auto"/>
              <w:ind/>
              <w:jc w:val="both"/>
              <w:rPr/>
            </w:pPr>
            <w:r>
              <w:rPr>
                <w:rtl w:val="0"/>
              </w:rPr>
            </w:r>
            <w:r/>
          </w:p>
          <w:p>
            <w:pPr>
              <w:pBdr/>
              <w:tabs>
                <w:tab w:val="left" w:leader="none" w:pos="0"/>
              </w:tabs>
              <w:spacing w:line="276" w:lineRule="auto"/>
              <w:ind/>
              <w:jc w:val="both"/>
              <w:rPr/>
            </w:pPr>
            <w:r>
              <w:rPr>
                <w:rtl w:val="0"/>
              </w:rPr>
              <w:t xml:space="preserve">Outre trouver le bon outil, il faut aussi mener les évaluations et en faire le traitement.</w:t>
            </w:r>
            <w:r/>
          </w:p>
          <w:p>
            <w:pPr>
              <w:pBdr/>
              <w:tabs>
                <w:tab w:val="left" w:leader="none" w:pos="0"/>
              </w:tabs>
              <w:spacing w:line="276" w:lineRule="auto"/>
              <w:ind/>
              <w:jc w:val="both"/>
              <w:rPr/>
            </w:pPr>
            <w:r>
              <w:rPr>
                <w:rtl w:val="0"/>
              </w:rPr>
              <w:t xml:space="preserve">Ce sujet peut être porté par un prestataire local qui serait chargé de communiquer et de mener les </w:t>
            </w:r>
            <w:r>
              <w:rPr>
                <w:rtl w:val="0"/>
              </w:rPr>
              <w:t xml:space="preserve">évaluations</w:t>
            </w:r>
            <w:r>
              <w:rPr>
                <w:rtl w:val="0"/>
              </w:rPr>
              <w:t xml:space="preserve">, puis de produire les bilans nécessaires à une bonne compréhension du territoire et des niveaux individuels des médiateurs numériques.</w:t>
            </w:r>
            <w:r/>
          </w:p>
          <w:p>
            <w:pPr>
              <w:pBdr/>
              <w:tabs>
                <w:tab w:val="left" w:leader="none" w:pos="0"/>
              </w:tabs>
              <w:spacing w:line="276" w:lineRule="auto"/>
              <w:ind/>
              <w:jc w:val="both"/>
              <w:rPr/>
            </w:pPr>
            <w:r>
              <w:rPr>
                <w:rtl w:val="0"/>
              </w:rPr>
              <w:t xml:space="preserve">Sinon, s’appuyer  sur l’acteur historique qui porte le sujet : La Fabrik’</w:t>
            </w:r>
            <w:r/>
          </w:p>
          <w:p>
            <w:pPr>
              <w:pBdr/>
              <w:tabs>
                <w:tab w:val="left" w:leader="none" w:pos="0"/>
              </w:tabs>
              <w:spacing w:line="276" w:lineRule="auto"/>
              <w:ind/>
              <w:jc w:val="both"/>
              <w:rPr/>
            </w:pPr>
            <w:r>
              <w:rPr>
                <w:rtl w:val="0"/>
              </w:rPr>
              <w:t xml:space="preserve">Outre l’évaluation, le recueil du besoin exprimé par les médiateurs numériques évalués est tout aussi important.</w:t>
            </w:r>
            <w:r/>
          </w:p>
          <w:p>
            <w:pPr>
              <w:pBdr/>
              <w:tabs>
                <w:tab w:val="left" w:leader="none" w:pos="0"/>
              </w:tabs>
              <w:spacing w:line="276" w:lineRule="auto"/>
              <w:ind/>
              <w:jc w:val="both"/>
              <w:rPr/>
            </w:pPr>
            <w:r>
              <w:rPr>
                <w:rtl w:val="0"/>
              </w:rPr>
            </w:r>
            <w:r/>
          </w:p>
          <w:p>
            <w:pPr>
              <w:pBdr/>
              <w:tabs>
                <w:tab w:val="left" w:leader="none" w:pos="0"/>
              </w:tabs>
              <w:spacing w:line="276" w:lineRule="auto"/>
              <w:ind/>
              <w:jc w:val="both"/>
              <w:rPr/>
            </w:pPr>
            <w:r>
              <w:rPr>
                <w:rtl w:val="0"/>
              </w:rPr>
              <w:t xml:space="preserve">En s’appuyant sur ces éléments, il sera possible d’identifier les zones carencées, les </w:t>
            </w:r>
            <w:r>
              <w:rPr>
                <w:rtl w:val="0"/>
              </w:rPr>
              <w:t xml:space="preserve">médiateurs</w:t>
            </w:r>
            <w:r>
              <w:rPr>
                <w:rtl w:val="0"/>
              </w:rPr>
              <w:t xml:space="preserve"> ayant </w:t>
            </w:r>
            <w:r>
              <w:rPr>
                <w:rtl w:val="0"/>
              </w:rPr>
              <w:t xml:space="preserve">besoin</w:t>
            </w:r>
            <w:r>
              <w:rPr>
                <w:rtl w:val="0"/>
              </w:rPr>
              <w:t xml:space="preserve"> le plus d’accompagnement, les thématiques sur lesquelles ils veulent se former, etc. pour ensuite mettre en place les formations permettant de répondre à ces problématiques.</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ÉTAPES DE MISE EN PLACE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numPr>
                <w:ilvl w:val="0"/>
                <w:numId w:val="2"/>
              </w:numPr>
              <w:pBdr/>
              <w:spacing w:after="0" w:before="0" w:line="240" w:lineRule="auto"/>
              <w:ind w:hanging="360" w:left="720"/>
              <w:rPr>
                <w:u w:val="none"/>
              </w:rPr>
            </w:pPr>
            <w:r>
              <w:rPr>
                <w:rtl w:val="0"/>
              </w:rPr>
              <w:t xml:space="preserve">Récupération auprès de La Fabrik’ des outils d’évaluation OU Production des outils d’évaluation</w:t>
            </w:r>
            <w:r>
              <w:rPr>
                <w:u w:val="none"/>
              </w:rPr>
            </w:r>
            <w:r>
              <w:rPr>
                <w:u w:val="none"/>
              </w:rPr>
            </w:r>
          </w:p>
          <w:p>
            <w:pPr>
              <w:numPr>
                <w:ilvl w:val="0"/>
                <w:numId w:val="2"/>
              </w:numPr>
              <w:pBdr/>
              <w:spacing w:after="0" w:before="0" w:line="240" w:lineRule="auto"/>
              <w:ind w:hanging="360" w:left="720"/>
              <w:rPr>
                <w:u w:val="none"/>
              </w:rPr>
            </w:pPr>
            <w:r>
              <w:rPr>
                <w:rtl w:val="0"/>
              </w:rPr>
              <w:t xml:space="preserve">Mise en place du marché et sélection du prestataire</w:t>
            </w:r>
            <w:r>
              <w:rPr>
                <w:u w:val="none"/>
              </w:rPr>
            </w:r>
            <w:r>
              <w:rPr>
                <w:u w:val="none"/>
              </w:rPr>
            </w:r>
          </w:p>
          <w:p>
            <w:pPr>
              <w:numPr>
                <w:ilvl w:val="0"/>
                <w:numId w:val="2"/>
              </w:numPr>
              <w:pBdr/>
              <w:spacing w:after="0" w:before="0" w:line="240" w:lineRule="auto"/>
              <w:ind w:hanging="360" w:left="720"/>
              <w:rPr>
                <w:u w:val="none"/>
              </w:rPr>
            </w:pPr>
            <w:r>
              <w:rPr>
                <w:rtl w:val="0"/>
              </w:rPr>
              <w:t xml:space="preserve">Réalisation par le prestataire</w:t>
            </w:r>
            <w:r>
              <w:rPr>
                <w:u w:val="none"/>
              </w:rPr>
            </w:r>
            <w:r>
              <w:rPr>
                <w:u w:val="none"/>
              </w:rPr>
            </w:r>
          </w:p>
          <w:p>
            <w:pPr>
              <w:numPr>
                <w:ilvl w:val="1"/>
                <w:numId w:val="2"/>
              </w:numPr>
              <w:pBdr/>
              <w:spacing w:after="0" w:before="0" w:line="240" w:lineRule="auto"/>
              <w:ind w:hanging="360" w:left="1440"/>
              <w:rPr>
                <w:u w:val="none"/>
              </w:rPr>
            </w:pPr>
            <w:r>
              <w:rPr>
                <w:rtl w:val="0"/>
              </w:rPr>
              <w:t xml:space="preserve">Du référencement des médiateurs numériques</w:t>
            </w:r>
            <w:r>
              <w:rPr>
                <w:u w:val="none"/>
              </w:rPr>
            </w:r>
            <w:r>
              <w:rPr>
                <w:u w:val="none"/>
              </w:rPr>
            </w:r>
          </w:p>
          <w:p>
            <w:pPr>
              <w:numPr>
                <w:ilvl w:val="1"/>
                <w:numId w:val="2"/>
              </w:numPr>
              <w:pBdr/>
              <w:spacing w:after="0" w:before="0" w:line="240" w:lineRule="auto"/>
              <w:ind w:hanging="360" w:left="1440"/>
              <w:rPr>
                <w:u w:val="none"/>
              </w:rPr>
            </w:pPr>
            <w:r>
              <w:rPr>
                <w:rtl w:val="0"/>
              </w:rPr>
              <w:t xml:space="preserve">De l’évaluation de leurs compétences</w:t>
            </w:r>
            <w:r>
              <w:rPr>
                <w:u w:val="none"/>
              </w:rPr>
            </w:r>
            <w:r>
              <w:rPr>
                <w:u w:val="none"/>
              </w:rP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DURÉE DE L’ACTION</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numPr>
                <w:ilvl w:val="0"/>
                <w:numId w:val="6"/>
              </w:numPr>
              <w:pBdr/>
              <w:spacing w:after="0" w:before="0" w:line="240" w:lineRule="auto"/>
              <w:ind w:hanging="360" w:left="720"/>
              <w:rPr>
                <w:sz w:val="24"/>
                <w:szCs w:val="24"/>
                <w:u w:val="none"/>
              </w:rPr>
            </w:pPr>
            <w:r>
              <w:rPr>
                <w:sz w:val="24"/>
                <w:szCs w:val="24"/>
                <w:rtl w:val="0"/>
              </w:rPr>
              <w:t xml:space="preserve">ANNUELLE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9"/>
              </w:numPr>
              <w:pBdr/>
              <w:spacing w:after="0" w:before="0" w:line="240" w:lineRule="auto"/>
              <w:ind w:hanging="360" w:left="720"/>
              <w:rPr>
                <w:sz w:val="24"/>
                <w:szCs w:val="24"/>
                <w:u w:val="none"/>
              </w:rPr>
            </w:pPr>
            <w:r>
              <w:rPr>
                <w:sz w:val="24"/>
                <w:szCs w:val="24"/>
                <w:rtl w:val="0"/>
              </w:rPr>
              <w:t xml:space="preserve">PLURIANNUELLE</w:t>
            </w:r>
            <w:r>
              <w:rPr>
                <w:sz w:val="24"/>
                <w:szCs w:val="24"/>
                <w:u w:val="none"/>
              </w:rPr>
            </w:r>
            <w:r>
              <w:rPr>
                <w:sz w:val="24"/>
                <w:szCs w:val="24"/>
                <w:u w:val="none"/>
              </w:rPr>
            </w:r>
          </w:p>
        </w:tc>
        <w:tc>
          <w:tcPr>
            <w:shd w:val="clear" w:color="auto" w:fill="auto"/>
            <w:tcBorders/>
            <w:textDirection w:val="lrTb"/>
            <w:noWrap w:val="false"/>
          </w:tcPr>
          <w:p>
            <w:pPr>
              <w:numPr>
                <w:ilvl w:val="0"/>
                <w:numId w:val="5"/>
              </w:numPr>
              <w:pBdr/>
              <w:spacing w:after="0" w:before="0" w:line="240" w:lineRule="auto"/>
              <w:ind w:hanging="360" w:left="425"/>
              <w:rPr>
                <w:sz w:val="24"/>
                <w:szCs w:val="24"/>
                <w:u w:val="none"/>
              </w:rPr>
            </w:pPr>
            <w:r>
              <w:rPr>
                <w:sz w:val="24"/>
                <w:szCs w:val="24"/>
                <w:rtl w:val="0"/>
              </w:rPr>
              <w:t xml:space="preserve"> DÉBUT: 24/06</w:t>
            </w:r>
            <w:r>
              <w:rPr>
                <w:sz w:val="24"/>
                <w:szCs w:val="24"/>
                <w:u w:val="none"/>
              </w:rPr>
            </w:r>
            <w:r>
              <w:rPr>
                <w:sz w:val="24"/>
                <w:szCs w:val="24"/>
                <w:u w:val="none"/>
              </w:rPr>
            </w:r>
          </w:p>
          <w:p>
            <w:pPr>
              <w:pBdr/>
              <w:spacing w:after="0" w:before="0" w:line="240" w:lineRule="auto"/>
              <w:ind/>
              <w:rPr/>
            </w:pPr>
            <w:r>
              <w:rPr>
                <w:sz w:val="24"/>
                <w:szCs w:val="24"/>
                <w:rtl w:val="0"/>
              </w:rPr>
              <w:t xml:space="preserve">         FIN : 31/31/2025</w:t>
            </w:r>
            <w:r>
              <w:rPr>
                <w:rtl w:val="0"/>
              </w:rPr>
            </w:r>
            <w:r/>
          </w:p>
        </w:tc>
      </w:tr>
      <w:tr>
        <w:trPr>
          <w:cantSplit w:val="false"/>
          <w:trHeight w:val="406"/>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PÉRIMÈTRE DE L’ACTION</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Structures employant des médiateurs numérique</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PUBLIC CIBLE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Médiateurs numérique du Var (hors CoNum)</w:t>
            </w:r>
            <w:r/>
          </w:p>
        </w:tc>
      </w:tr>
      <w:tr>
        <w:trPr>
          <w:cantSplit w:val="false"/>
          <w:trHeight w:val="66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RÉSULTATS ATTENDUS</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Production d’un référentiel des professionnels de la médiation numérique contenant un indicateur du niveau de compétences</w:t>
            </w:r>
            <w:r/>
          </w:p>
          <w:p>
            <w:pPr>
              <w:numPr>
                <w:ilvl w:val="0"/>
                <w:numId w:val="10"/>
              </w:numPr>
              <w:pBdr/>
              <w:spacing w:after="0" w:before="0" w:line="240" w:lineRule="auto"/>
              <w:ind w:hanging="360" w:left="1440"/>
              <w:rPr>
                <w:u w:val="none"/>
              </w:rPr>
            </w:pPr>
            <w:r>
              <w:rPr>
                <w:rtl w:val="0"/>
              </w:rPr>
              <w:t xml:space="preserve">Sous la forme d’une formation ou d’un diplôme en lien avec la médiation numérique</w:t>
            </w:r>
            <w:r>
              <w:rPr>
                <w:u w:val="none"/>
              </w:rPr>
            </w:r>
            <w:r>
              <w:rPr>
                <w:u w:val="none"/>
              </w:rPr>
            </w:r>
          </w:p>
          <w:p>
            <w:pPr>
              <w:numPr>
                <w:ilvl w:val="0"/>
                <w:numId w:val="10"/>
              </w:numPr>
              <w:pBdr/>
              <w:spacing w:after="0" w:before="0" w:line="240" w:lineRule="auto"/>
              <w:ind w:hanging="360" w:left="1440"/>
              <w:rPr>
                <w:u w:val="none"/>
              </w:rPr>
            </w:pPr>
            <w:r>
              <w:rPr>
                <w:rtl w:val="0"/>
              </w:rPr>
              <w:t xml:space="preserve">Un niveau Pix</w:t>
            </w:r>
            <w:r>
              <w:rPr>
                <w:u w:val="none"/>
              </w:rPr>
            </w:r>
            <w:r>
              <w:rPr>
                <w:u w:val="none"/>
              </w:rPr>
            </w:r>
          </w:p>
          <w:p>
            <w:pPr>
              <w:numPr>
                <w:ilvl w:val="0"/>
                <w:numId w:val="10"/>
              </w:numPr>
              <w:pBdr/>
              <w:spacing w:after="0" w:before="0" w:line="240" w:lineRule="auto"/>
              <w:ind w:hanging="360" w:left="1440"/>
              <w:rPr>
                <w:u w:val="none"/>
              </w:rPr>
            </w:pPr>
            <w:r>
              <w:rPr>
                <w:rtl w:val="0"/>
              </w:rPr>
              <w:t xml:space="preserve">Un résultat à un test d’évaluation CoNum</w:t>
            </w:r>
            <w:r>
              <w:rPr>
                <w:u w:val="none"/>
              </w:rPr>
            </w:r>
            <w:r>
              <w:rPr>
                <w:u w:val="none"/>
              </w:rPr>
            </w:r>
          </w:p>
        </w:tc>
      </w:tr>
      <w:tr>
        <w:trPr>
          <w:cantSplit w:val="false"/>
          <w:trHeight w:val="570"/>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MOYENS MOBILISÉS</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b/>
              </w:rPr>
            </w:pPr>
            <w:r>
              <w:rPr>
                <w:b/>
                <w:rtl w:val="0"/>
              </w:rPr>
              <w:t xml:space="preserve">HUMAINS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MATÉRIELS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FINANCIER</w:t>
            </w:r>
            <w:r>
              <w:rPr>
                <w:b/>
              </w:rPr>
            </w:r>
            <w:r>
              <w:rPr>
                <w:b/>
              </w:rPr>
            </w:r>
          </w:p>
        </w:tc>
      </w:tr>
      <w:tr>
        <w:trPr>
          <w:cantSplit w:val="false"/>
          <w:trHeight w:val="570"/>
        </w:trPr>
        <w:tc>
          <w:tcPr>
            <w:shd w:val="clear" w:color="auto" w:fill="auto"/>
            <w:tcBorders/>
            <w:vAlign w:val="center"/>
            <w:vMerge w:val="continue"/>
            <w:textDirection w:val="lrTb"/>
            <w:noWrap w:val="false"/>
          </w:tcPr>
          <w:p>
            <w:pPr>
              <w:pBdr/>
              <w:spacing w:after="0" w:before="0" w:line="240" w:lineRule="auto"/>
              <w:ind w:firstLine="0" w:left="0"/>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after="0" w:before="0" w:line="240" w:lineRule="auto"/>
              <w:ind/>
              <w:rPr/>
            </w:pPr>
            <w:r>
              <w:rPr>
                <w:rtl w:val="0"/>
              </w:rPr>
              <w:t xml:space="preserve">Temps humain CD83 gestion marché</w:t>
            </w:r>
            <w:r/>
          </w:p>
          <w:p>
            <w:pPr>
              <w:pBdr/>
              <w:spacing w:after="0" w:before="0" w:line="240" w:lineRule="auto"/>
              <w:ind/>
              <w:rPr/>
            </w:pPr>
            <w:r>
              <w:rPr>
                <w:rtl w:val="0"/>
              </w:rPr>
              <w:t xml:space="preserve">Temps prestataire</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RAS</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Coût du prestataire</w:t>
            </w:r>
            <w:r/>
          </w:p>
        </w:tc>
      </w:tr>
      <w:tr>
        <w:trPr>
          <w:cantSplit w:val="false"/>
          <w:trHeight w:val="679"/>
        </w:trPr>
        <w:tc>
          <w:tcPr>
            <w:shd w:val="clear" w:color="auto" w:fill="auto"/>
            <w:tcBorders/>
            <w:vAlign w:val="center"/>
            <w:textDirection w:val="lrTb"/>
            <w:noWrap w:val="false"/>
          </w:tcPr>
          <w:p>
            <w:pPr>
              <w:pBdr/>
              <w:spacing w:after="0" w:before="0" w:line="240" w:lineRule="auto"/>
              <w:ind/>
              <w:rPr/>
            </w:pPr>
            <w:r>
              <w:rPr>
                <w:b/>
                <w:sz w:val="24"/>
                <w:szCs w:val="24"/>
                <w:rtl w:val="0"/>
              </w:rPr>
              <w:t xml:space="preserve">INDICATEURS D’ÉVALUATION</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Nombre de médiateurs référencés</w:t>
            </w:r>
            <w:r/>
          </w:p>
          <w:p>
            <w:pPr>
              <w:pBdr/>
              <w:spacing w:after="0" w:before="0" w:line="240" w:lineRule="auto"/>
              <w:ind/>
              <w:rPr/>
            </w:pPr>
            <w:r>
              <w:rPr>
                <w:rtl w:val="0"/>
              </w:rPr>
              <w:t xml:space="preserve">Niveau moyen des médiateurs</w:t>
            </w:r>
            <w:r/>
          </w:p>
          <w:p>
            <w:pPr>
              <w:pBdr/>
              <w:spacing w:after="0" w:before="0" w:line="240" w:lineRule="auto"/>
              <w:ind/>
              <w:rPr/>
            </w:pPr>
            <w:r>
              <w:rPr>
                <w:rtl w:val="0"/>
              </w:rPr>
              <w:t xml:space="preserve">Nombre de médiateurs en besoin de formation</w:t>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RESSOURCES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Obtenir le test de positionnement La fabrik’ ?</w:t>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PERSPECTIVES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À terme, l’ambition est de</w:t>
            </w:r>
            <w:r>
              <w:rPr>
                <w:rtl w:val="0"/>
              </w:rPr>
              <w:t xml:space="preserve"> permettre aux médiateurs numériques de développer les compétences nécessaires pour être au niveau des CoNum ou au moins de valoriser leurs compétences avec un diplôme comme le titre RNCP de niveau 5 “Médiateur Numérique”, sous la forme d’une VAE peut être</w:t>
            </w:r>
            <w:r/>
          </w:p>
        </w:tc>
      </w:tr>
    </w:tbl>
    <w:p>
      <w:pPr>
        <w:pBdr/>
        <w:spacing w:after="200" w:before="0"/>
        <w:ind/>
        <w:rPr/>
      </w:pPr>
      <w:r>
        <w:rPr>
          <w:rtl w:val="0"/>
        </w:rPr>
      </w:r>
      <w:r/>
    </w:p>
    <w:sectPr>
      <w:footnotePr/>
      <w:endnotePr/>
      <w:type w:val="nextPage"/>
      <w:pgSz w:h="16838" w:orient="portrait" w:w="11906"/>
      <w:pgMar w:top="1474" w:right="1983" w:bottom="851" w:left="1418" w:header="0" w:footer="0" w:gutter="0"/>
      <w:pgNumType w:start="1"/>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font>
  <w:font w:name="Arial">
    <w:panose1 w:val="020B0604020202020204"/>
  </w:font>
  <w:font w:name="Calibri">
    <w:panose1 w:val="020F0502020204030204"/>
  </w:font>
  <w:font w:name="Times New Roman">
    <w:panose1 w:val="020206030504050203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4">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5">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6">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7">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8">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9">
    <w:lvl w:ilvl="0">
      <w:isLgl w:val="false"/>
      <w:lvlJc w:val="left"/>
      <w:lvlText w:val="●"/>
      <w:numFmt w:val="bullet"/>
      <w:pPr>
        <w:pBdr/>
        <w:spacing/>
        <w:ind w:hanging="360" w:left="1440"/>
      </w:pPr>
      <w:rPr>
        <w:u w:val="none"/>
      </w:rPr>
      <w:start w:val="1"/>
      <w:suff w:val="tab"/>
    </w:lvl>
    <w:lvl w:ilvl="1">
      <w:isLgl w:val="false"/>
      <w:lvlJc w:val="left"/>
      <w:lvlText w:val="○"/>
      <w:numFmt w:val="bullet"/>
      <w:pPr>
        <w:pBdr/>
        <w:spacing/>
        <w:ind w:hanging="360" w:left="2160"/>
      </w:pPr>
      <w:rPr>
        <w:u w:val="none"/>
      </w:rPr>
      <w:start w:val="1"/>
      <w:suff w:val="tab"/>
    </w:lvl>
    <w:lvl w:ilvl="2">
      <w:isLgl w:val="false"/>
      <w:lvlJc w:val="left"/>
      <w:lvlText w:val="■"/>
      <w:numFmt w:val="bullet"/>
      <w:pPr>
        <w:pBdr/>
        <w:spacing/>
        <w:ind w:hanging="360" w:left="2880"/>
      </w:pPr>
      <w:rPr>
        <w:u w:val="none"/>
      </w:rPr>
      <w:start w:val="1"/>
      <w:suff w:val="tab"/>
    </w:lvl>
    <w:lvl w:ilvl="3">
      <w:isLgl w:val="false"/>
      <w:lvlJc w:val="left"/>
      <w:lvlText w:val="●"/>
      <w:numFmt w:val="bullet"/>
      <w:pPr>
        <w:pBdr/>
        <w:spacing/>
        <w:ind w:hanging="360" w:left="3600"/>
      </w:pPr>
      <w:rPr>
        <w:u w:val="none"/>
      </w:rPr>
      <w:start w:val="1"/>
      <w:suff w:val="tab"/>
    </w:lvl>
    <w:lvl w:ilvl="4">
      <w:isLgl w:val="false"/>
      <w:lvlJc w:val="left"/>
      <w:lvlText w:val="○"/>
      <w:numFmt w:val="bullet"/>
      <w:pPr>
        <w:pBdr/>
        <w:spacing/>
        <w:ind w:hanging="360" w:left="4320"/>
      </w:pPr>
      <w:rPr>
        <w:u w:val="none"/>
      </w:rPr>
      <w:start w:val="1"/>
      <w:suff w:val="tab"/>
    </w:lvl>
    <w:lvl w:ilvl="5">
      <w:isLgl w:val="false"/>
      <w:lvlJc w:val="left"/>
      <w:lvlText w:val="■"/>
      <w:numFmt w:val="bullet"/>
      <w:pPr>
        <w:pBdr/>
        <w:spacing/>
        <w:ind w:hanging="360" w:left="5040"/>
      </w:pPr>
      <w:rPr>
        <w:u w:val="none"/>
      </w:rPr>
      <w:start w:val="1"/>
      <w:suff w:val="tab"/>
    </w:lvl>
    <w:lvl w:ilvl="6">
      <w:isLgl w:val="false"/>
      <w:lvlJc w:val="left"/>
      <w:lvlText w:val="●"/>
      <w:numFmt w:val="bullet"/>
      <w:pPr>
        <w:pBdr/>
        <w:spacing/>
        <w:ind w:hanging="360" w:left="5760"/>
      </w:pPr>
      <w:rPr>
        <w:u w:val="none"/>
      </w:rPr>
      <w:start w:val="1"/>
      <w:suff w:val="tab"/>
    </w:lvl>
    <w:lvl w:ilvl="7">
      <w:isLgl w:val="false"/>
      <w:lvlJc w:val="left"/>
      <w:lvlText w:val="○"/>
      <w:numFmt w:val="bullet"/>
      <w:pPr>
        <w:pBdr/>
        <w:spacing/>
        <w:ind w:hanging="360" w:left="6480"/>
      </w:pPr>
      <w:rPr>
        <w:u w:val="none"/>
      </w:rPr>
      <w:start w:val="1"/>
      <w:suff w:val="tab"/>
    </w:lvl>
    <w:lvl w:ilvl="8">
      <w:isLgl w:val="false"/>
      <w:lvlJc w:val="left"/>
      <w:lvlText w:val="■"/>
      <w:numFmt w:val="bullet"/>
      <w:pPr>
        <w:pBdr/>
        <w:spacing/>
        <w:ind w:hanging="360" w:left="7200"/>
      </w:pPr>
      <w:rPr>
        <w:u w:val="none"/>
      </w:rPr>
      <w:start w:val="1"/>
      <w:suff w:val="tab"/>
    </w:lvl>
  </w:abstractNum>
  <w:abstractNum w:abstractNumId="1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fr-FR"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25"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Table Grid"/>
    <w:basedOn w:val="725"/>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Table Grid Light"/>
    <w:basedOn w:val="725"/>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Plain Table 1"/>
    <w:basedOn w:val="725"/>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Plain Table 2"/>
    <w:basedOn w:val="725"/>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Plain Table 3"/>
    <w:basedOn w:val="72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Plain Table 4"/>
    <w:basedOn w:val="72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Plain Table 5"/>
    <w:basedOn w:val="72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w:basedOn w:val="725"/>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1 Light - Accent 1"/>
    <w:basedOn w:val="72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1 Light - Accent 2"/>
    <w:basedOn w:val="72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1 Light - Accent 3"/>
    <w:basedOn w:val="72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1 Light - Accent 4"/>
    <w:basedOn w:val="72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1 Light - Accent 5"/>
    <w:basedOn w:val="72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1 Light - Accent 6"/>
    <w:basedOn w:val="72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w:basedOn w:val="72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2 - Accent 1"/>
    <w:basedOn w:val="72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2 - Accent 2"/>
    <w:basedOn w:val="72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2 - Accent 3"/>
    <w:basedOn w:val="72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2 - Accent 4"/>
    <w:basedOn w:val="72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2 - Accent 5"/>
    <w:basedOn w:val="72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2 - Accent 6"/>
    <w:basedOn w:val="72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w:basedOn w:val="72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3 - Accent 1"/>
    <w:basedOn w:val="72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3 - Accent 2"/>
    <w:basedOn w:val="72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3 - Accent 3"/>
    <w:basedOn w:val="72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3 - Accent 4"/>
    <w:basedOn w:val="72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3 - Accent 5"/>
    <w:basedOn w:val="72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3 - Accent 6"/>
    <w:basedOn w:val="72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w:basedOn w:val="725"/>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4 - Accent 1"/>
    <w:basedOn w:val="72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4 - Accent 2"/>
    <w:basedOn w:val="72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4 - Accent 3"/>
    <w:basedOn w:val="72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4 - Accent 4"/>
    <w:basedOn w:val="72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4 - Accent 5"/>
    <w:basedOn w:val="72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4 - Accent 6"/>
    <w:basedOn w:val="72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w:basedOn w:val="72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5 Dark- Accent 1"/>
    <w:basedOn w:val="72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5 Dark - Accent 2"/>
    <w:basedOn w:val="72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5 Dark - Accent 3"/>
    <w:basedOn w:val="72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5 Dark- Accent 4"/>
    <w:basedOn w:val="72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5 Dark - Accent 5"/>
    <w:basedOn w:val="72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5 Dark - Accent 6"/>
    <w:basedOn w:val="72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6 Colorful"/>
    <w:basedOn w:val="725"/>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9">
    <w:name w:val="Grid Table 6 Colorful - Accent 1"/>
    <w:basedOn w:val="72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70">
    <w:name w:val="Grid Table 6 Colorful - Accent 2"/>
    <w:basedOn w:val="72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71">
    <w:name w:val="Grid Table 6 Colorful - Accent 3"/>
    <w:basedOn w:val="72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72">
    <w:name w:val="Grid Table 6 Colorful - Accent 4"/>
    <w:basedOn w:val="72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73">
    <w:name w:val="Grid Table 6 Colorful - Accent 5"/>
    <w:basedOn w:val="72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4">
    <w:name w:val="Grid Table 6 Colorful - Accent 6"/>
    <w:basedOn w:val="72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5">
    <w:name w:val="Grid Table 7 Colorful"/>
    <w:basedOn w:val="725"/>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7 Colorful - Accent 1"/>
    <w:basedOn w:val="72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7 Colorful - Accent 2"/>
    <w:basedOn w:val="72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7 Colorful - Accent 3"/>
    <w:basedOn w:val="72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7 Colorful - Accent 4"/>
    <w:basedOn w:val="72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7 Colorful - Accent 5"/>
    <w:basedOn w:val="72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7 Colorful - Accent 6"/>
    <w:basedOn w:val="72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w:basedOn w:val="72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1 Light - Accent 1"/>
    <w:basedOn w:val="72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1 Light - Accent 2"/>
    <w:basedOn w:val="72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1 Light - Accent 3"/>
    <w:basedOn w:val="72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1 Light - Accent 4"/>
    <w:basedOn w:val="72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1 Light - Accent 5"/>
    <w:basedOn w:val="72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1 Light - Accent 6"/>
    <w:basedOn w:val="72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w:basedOn w:val="725"/>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2 - Accent 1"/>
    <w:basedOn w:val="72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2 - Accent 2"/>
    <w:basedOn w:val="72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2 - Accent 3"/>
    <w:basedOn w:val="72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2 - Accent 4"/>
    <w:basedOn w:val="72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2 - Accent 5"/>
    <w:basedOn w:val="72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2 - Accent 6"/>
    <w:basedOn w:val="72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w:basedOn w:val="72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3 - Accent 1"/>
    <w:basedOn w:val="72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3 - Accent 2"/>
    <w:basedOn w:val="72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3 - Accent 3"/>
    <w:basedOn w:val="72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3 - Accent 4"/>
    <w:basedOn w:val="72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3 - Accent 5"/>
    <w:basedOn w:val="72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3 - Accent 6"/>
    <w:basedOn w:val="72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w:basedOn w:val="72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4 - Accent 1"/>
    <w:basedOn w:val="72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4 - Accent 2"/>
    <w:basedOn w:val="72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4 - Accent 3"/>
    <w:basedOn w:val="72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4 - Accent 4"/>
    <w:basedOn w:val="72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4 - Accent 5"/>
    <w:basedOn w:val="72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4 - Accent 6"/>
    <w:basedOn w:val="72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5 Dark"/>
    <w:basedOn w:val="725"/>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5 Dark - Accent 1"/>
    <w:basedOn w:val="72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2">
    <w:name w:val="List Table 5 Dark - Accent 2"/>
    <w:basedOn w:val="72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5 Dark - Accent 3"/>
    <w:basedOn w:val="72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4">
    <w:name w:val="List Table 5 Dark - Accent 4"/>
    <w:basedOn w:val="72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5">
    <w:name w:val="List Table 5 Dark - Accent 5"/>
    <w:basedOn w:val="72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6">
    <w:name w:val="List Table 5 Dark - Accent 6"/>
    <w:basedOn w:val="72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7">
    <w:name w:val="List Table 6 Colorful"/>
    <w:basedOn w:val="725"/>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6 Colorful - Accent 1"/>
    <w:basedOn w:val="72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6 Colorful - Accent 2"/>
    <w:basedOn w:val="72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6 Colorful - Accent 3"/>
    <w:basedOn w:val="72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6 Colorful - Accent 4"/>
    <w:basedOn w:val="72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6 Colorful - Accent 5"/>
    <w:basedOn w:val="72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6 Colorful - Accent 6"/>
    <w:basedOn w:val="72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7 Colorful"/>
    <w:basedOn w:val="725"/>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25">
    <w:name w:val="List Table 7 Colorful - Accent 1"/>
    <w:basedOn w:val="72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6">
    <w:name w:val="List Table 7 Colorful - Accent 2"/>
    <w:basedOn w:val="72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7">
    <w:name w:val="List Table 7 Colorful - Accent 3"/>
    <w:basedOn w:val="72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28">
    <w:name w:val="List Table 7 Colorful - Accent 4"/>
    <w:basedOn w:val="72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29">
    <w:name w:val="List Table 7 Colorful - Accent 5"/>
    <w:basedOn w:val="72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30">
    <w:name w:val="List Table 7 Colorful - Accent 6"/>
    <w:basedOn w:val="72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31">
    <w:name w:val="Lined - Accent"/>
    <w:basedOn w:val="72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ned - Accent 1"/>
    <w:basedOn w:val="72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ned - Accent 2"/>
    <w:basedOn w:val="72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ned - Accent 3"/>
    <w:basedOn w:val="72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ned - Accent 4"/>
    <w:basedOn w:val="72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ned - Accent 5"/>
    <w:basedOn w:val="72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ned - Accent 6"/>
    <w:basedOn w:val="72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w:basedOn w:val="725"/>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amp; Lined - Accent 1"/>
    <w:basedOn w:val="725"/>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amp; Lined - Accent 2"/>
    <w:basedOn w:val="725"/>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amp; Lined - Accent 3"/>
    <w:basedOn w:val="725"/>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amp; Lined - Accent 4"/>
    <w:basedOn w:val="725"/>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amp; Lined - Accent 5"/>
    <w:basedOn w:val="72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amp; Lined - Accent 6"/>
    <w:basedOn w:val="725"/>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w:basedOn w:val="725"/>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 Accent 1"/>
    <w:basedOn w:val="72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 Accent 2"/>
    <w:basedOn w:val="72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 Accent 3"/>
    <w:basedOn w:val="72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Bordered - Accent 4"/>
    <w:basedOn w:val="72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Bordered - Accent 5"/>
    <w:basedOn w:val="72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Bordered - Accent 6"/>
    <w:basedOn w:val="72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52">
    <w:name w:val="Heading 7"/>
    <w:basedOn w:val="906"/>
    <w:next w:val="906"/>
    <w:link w:val="863"/>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53">
    <w:name w:val="Heading 8"/>
    <w:basedOn w:val="906"/>
    <w:next w:val="906"/>
    <w:link w:val="864"/>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54">
    <w:name w:val="Heading 9"/>
    <w:basedOn w:val="906"/>
    <w:next w:val="906"/>
    <w:link w:val="865"/>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55" w:default="1">
    <w:name w:val="Default Paragraph Font"/>
    <w:uiPriority w:val="1"/>
    <w:semiHidden/>
    <w:unhideWhenUsed/>
    <w:pPr>
      <w:pBdr/>
      <w:spacing/>
      <w:ind/>
    </w:pPr>
  </w:style>
  <w:style w:type="numbering" w:styleId="856" w:default="1">
    <w:name w:val="No List"/>
    <w:uiPriority w:val="99"/>
    <w:semiHidden/>
    <w:unhideWhenUsed/>
    <w:pPr>
      <w:pBdr/>
      <w:spacing/>
      <w:ind/>
    </w:pPr>
  </w:style>
  <w:style w:type="character" w:styleId="857">
    <w:name w:val="Heading 1 Char"/>
    <w:basedOn w:val="855"/>
    <w:link w:val="907"/>
    <w:uiPriority w:val="9"/>
    <w:pPr>
      <w:pBdr/>
      <w:spacing/>
      <w:ind/>
    </w:pPr>
    <w:rPr>
      <w:rFonts w:ascii="Arial" w:hAnsi="Arial" w:eastAsia="Arial" w:cs="Arial"/>
      <w:color w:val="0f4761" w:themeColor="accent1" w:themeShade="BF"/>
      <w:sz w:val="40"/>
      <w:szCs w:val="40"/>
    </w:rPr>
  </w:style>
  <w:style w:type="character" w:styleId="858">
    <w:name w:val="Heading 2 Char"/>
    <w:basedOn w:val="855"/>
    <w:link w:val="908"/>
    <w:uiPriority w:val="9"/>
    <w:pPr>
      <w:pBdr/>
      <w:spacing/>
      <w:ind/>
    </w:pPr>
    <w:rPr>
      <w:rFonts w:ascii="Arial" w:hAnsi="Arial" w:eastAsia="Arial" w:cs="Arial"/>
      <w:color w:val="0f4761" w:themeColor="accent1" w:themeShade="BF"/>
      <w:sz w:val="32"/>
      <w:szCs w:val="32"/>
    </w:rPr>
  </w:style>
  <w:style w:type="character" w:styleId="859">
    <w:name w:val="Heading 3 Char"/>
    <w:basedOn w:val="855"/>
    <w:link w:val="909"/>
    <w:uiPriority w:val="9"/>
    <w:pPr>
      <w:pBdr/>
      <w:spacing/>
      <w:ind/>
    </w:pPr>
    <w:rPr>
      <w:rFonts w:ascii="Arial" w:hAnsi="Arial" w:eastAsia="Arial" w:cs="Arial"/>
      <w:color w:val="0f4761" w:themeColor="accent1" w:themeShade="BF"/>
      <w:sz w:val="28"/>
      <w:szCs w:val="28"/>
    </w:rPr>
  </w:style>
  <w:style w:type="character" w:styleId="860">
    <w:name w:val="Heading 4 Char"/>
    <w:basedOn w:val="855"/>
    <w:link w:val="910"/>
    <w:uiPriority w:val="9"/>
    <w:pPr>
      <w:pBdr/>
      <w:spacing/>
      <w:ind/>
    </w:pPr>
    <w:rPr>
      <w:rFonts w:ascii="Arial" w:hAnsi="Arial" w:eastAsia="Arial" w:cs="Arial"/>
      <w:i/>
      <w:iCs/>
      <w:color w:val="0f4761" w:themeColor="accent1" w:themeShade="BF"/>
    </w:rPr>
  </w:style>
  <w:style w:type="character" w:styleId="861">
    <w:name w:val="Heading 5 Char"/>
    <w:basedOn w:val="855"/>
    <w:link w:val="911"/>
    <w:uiPriority w:val="9"/>
    <w:pPr>
      <w:pBdr/>
      <w:spacing/>
      <w:ind/>
    </w:pPr>
    <w:rPr>
      <w:rFonts w:ascii="Arial" w:hAnsi="Arial" w:eastAsia="Arial" w:cs="Arial"/>
      <w:color w:val="0f4761" w:themeColor="accent1" w:themeShade="BF"/>
    </w:rPr>
  </w:style>
  <w:style w:type="character" w:styleId="862">
    <w:name w:val="Heading 6 Char"/>
    <w:basedOn w:val="855"/>
    <w:link w:val="912"/>
    <w:uiPriority w:val="9"/>
    <w:pPr>
      <w:pBdr/>
      <w:spacing/>
      <w:ind/>
    </w:pPr>
    <w:rPr>
      <w:rFonts w:ascii="Arial" w:hAnsi="Arial" w:eastAsia="Arial" w:cs="Arial"/>
      <w:i/>
      <w:iCs/>
      <w:color w:val="595959" w:themeColor="text1" w:themeTint="A6"/>
    </w:rPr>
  </w:style>
  <w:style w:type="character" w:styleId="863">
    <w:name w:val="Heading 7 Char"/>
    <w:basedOn w:val="855"/>
    <w:link w:val="852"/>
    <w:uiPriority w:val="9"/>
    <w:pPr>
      <w:pBdr/>
      <w:spacing/>
      <w:ind/>
    </w:pPr>
    <w:rPr>
      <w:rFonts w:ascii="Arial" w:hAnsi="Arial" w:eastAsia="Arial" w:cs="Arial"/>
      <w:color w:val="595959" w:themeColor="text1" w:themeTint="A6"/>
    </w:rPr>
  </w:style>
  <w:style w:type="character" w:styleId="864">
    <w:name w:val="Heading 8 Char"/>
    <w:basedOn w:val="855"/>
    <w:link w:val="853"/>
    <w:uiPriority w:val="9"/>
    <w:pPr>
      <w:pBdr/>
      <w:spacing/>
      <w:ind/>
    </w:pPr>
    <w:rPr>
      <w:rFonts w:ascii="Arial" w:hAnsi="Arial" w:eastAsia="Arial" w:cs="Arial"/>
      <w:i/>
      <w:iCs/>
      <w:color w:val="272727" w:themeColor="text1" w:themeTint="D8"/>
    </w:rPr>
  </w:style>
  <w:style w:type="character" w:styleId="865">
    <w:name w:val="Heading 9 Char"/>
    <w:basedOn w:val="855"/>
    <w:link w:val="854"/>
    <w:uiPriority w:val="9"/>
    <w:pPr>
      <w:pBdr/>
      <w:spacing/>
      <w:ind/>
    </w:pPr>
    <w:rPr>
      <w:rFonts w:ascii="Arial" w:hAnsi="Arial" w:eastAsia="Arial" w:cs="Arial"/>
      <w:i/>
      <w:iCs/>
      <w:color w:val="272727" w:themeColor="text1" w:themeTint="D8"/>
    </w:rPr>
  </w:style>
  <w:style w:type="character" w:styleId="866">
    <w:name w:val="Title Char"/>
    <w:basedOn w:val="855"/>
    <w:link w:val="913"/>
    <w:uiPriority w:val="10"/>
    <w:pPr>
      <w:pBdr/>
      <w:spacing/>
      <w:ind/>
    </w:pPr>
    <w:rPr>
      <w:rFonts w:ascii="Arial" w:hAnsi="Arial" w:eastAsia="Arial" w:cs="Arial"/>
      <w:spacing w:val="-10"/>
      <w:sz w:val="56"/>
      <w:szCs w:val="56"/>
    </w:rPr>
  </w:style>
  <w:style w:type="character" w:styleId="867">
    <w:name w:val="Subtitle Char"/>
    <w:basedOn w:val="855"/>
    <w:link w:val="914"/>
    <w:uiPriority w:val="11"/>
    <w:pPr>
      <w:pBdr/>
      <w:spacing/>
      <w:ind/>
    </w:pPr>
    <w:rPr>
      <w:color w:val="595959" w:themeColor="text1" w:themeTint="A6"/>
      <w:spacing w:val="15"/>
      <w:sz w:val="28"/>
      <w:szCs w:val="28"/>
    </w:rPr>
  </w:style>
  <w:style w:type="paragraph" w:styleId="868">
    <w:name w:val="Quote"/>
    <w:basedOn w:val="906"/>
    <w:next w:val="906"/>
    <w:link w:val="869"/>
    <w:uiPriority w:val="29"/>
    <w:qFormat/>
    <w:pPr>
      <w:pBdr/>
      <w:spacing w:before="160"/>
      <w:ind/>
      <w:jc w:val="center"/>
    </w:pPr>
    <w:rPr>
      <w:i/>
      <w:iCs/>
      <w:color w:val="404040" w:themeColor="text1" w:themeTint="BF"/>
    </w:rPr>
  </w:style>
  <w:style w:type="character" w:styleId="869">
    <w:name w:val="Quote Char"/>
    <w:basedOn w:val="855"/>
    <w:link w:val="868"/>
    <w:uiPriority w:val="29"/>
    <w:pPr>
      <w:pBdr/>
      <w:spacing/>
      <w:ind/>
    </w:pPr>
    <w:rPr>
      <w:i/>
      <w:iCs/>
      <w:color w:val="404040" w:themeColor="text1" w:themeTint="BF"/>
    </w:rPr>
  </w:style>
  <w:style w:type="paragraph" w:styleId="870">
    <w:name w:val="List Paragraph"/>
    <w:basedOn w:val="906"/>
    <w:uiPriority w:val="34"/>
    <w:qFormat/>
    <w:pPr>
      <w:pBdr/>
      <w:spacing/>
      <w:ind w:left="720"/>
      <w:contextualSpacing w:val="true"/>
    </w:pPr>
  </w:style>
  <w:style w:type="character" w:styleId="871">
    <w:name w:val="Intense Emphasis"/>
    <w:basedOn w:val="855"/>
    <w:uiPriority w:val="21"/>
    <w:qFormat/>
    <w:pPr>
      <w:pBdr/>
      <w:spacing/>
      <w:ind/>
    </w:pPr>
    <w:rPr>
      <w:i/>
      <w:iCs/>
      <w:color w:val="0f4761" w:themeColor="accent1" w:themeShade="BF"/>
    </w:rPr>
  </w:style>
  <w:style w:type="paragraph" w:styleId="872">
    <w:name w:val="Intense Quote"/>
    <w:basedOn w:val="906"/>
    <w:next w:val="906"/>
    <w:link w:val="873"/>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73">
    <w:name w:val="Intense Quote Char"/>
    <w:basedOn w:val="855"/>
    <w:link w:val="872"/>
    <w:uiPriority w:val="30"/>
    <w:pPr>
      <w:pBdr/>
      <w:spacing/>
      <w:ind/>
    </w:pPr>
    <w:rPr>
      <w:i/>
      <w:iCs/>
      <w:color w:val="0f4761" w:themeColor="accent1" w:themeShade="BF"/>
    </w:rPr>
  </w:style>
  <w:style w:type="character" w:styleId="874">
    <w:name w:val="Intense Reference"/>
    <w:basedOn w:val="855"/>
    <w:uiPriority w:val="32"/>
    <w:qFormat/>
    <w:pPr>
      <w:pBdr/>
      <w:spacing/>
      <w:ind/>
    </w:pPr>
    <w:rPr>
      <w:b/>
      <w:bCs/>
      <w:smallCaps/>
      <w:color w:val="0f4761" w:themeColor="accent1" w:themeShade="BF"/>
      <w:spacing w:val="5"/>
    </w:rPr>
  </w:style>
  <w:style w:type="paragraph" w:styleId="875">
    <w:name w:val="No Spacing"/>
    <w:basedOn w:val="906"/>
    <w:uiPriority w:val="1"/>
    <w:qFormat/>
    <w:pPr>
      <w:pBdr/>
      <w:spacing w:after="0" w:line="240" w:lineRule="auto"/>
      <w:ind/>
    </w:pPr>
  </w:style>
  <w:style w:type="character" w:styleId="876">
    <w:name w:val="Subtle Emphasis"/>
    <w:basedOn w:val="855"/>
    <w:uiPriority w:val="19"/>
    <w:qFormat/>
    <w:pPr>
      <w:pBdr/>
      <w:spacing/>
      <w:ind/>
    </w:pPr>
    <w:rPr>
      <w:i/>
      <w:iCs/>
      <w:color w:val="404040" w:themeColor="text1" w:themeTint="BF"/>
    </w:rPr>
  </w:style>
  <w:style w:type="character" w:styleId="877">
    <w:name w:val="Emphasis"/>
    <w:basedOn w:val="855"/>
    <w:uiPriority w:val="20"/>
    <w:qFormat/>
    <w:pPr>
      <w:pBdr/>
      <w:spacing/>
      <w:ind/>
    </w:pPr>
    <w:rPr>
      <w:i/>
      <w:iCs/>
    </w:rPr>
  </w:style>
  <w:style w:type="character" w:styleId="878">
    <w:name w:val="Strong"/>
    <w:basedOn w:val="855"/>
    <w:uiPriority w:val="22"/>
    <w:qFormat/>
    <w:pPr>
      <w:pBdr/>
      <w:spacing/>
      <w:ind/>
    </w:pPr>
    <w:rPr>
      <w:b/>
      <w:bCs/>
    </w:rPr>
  </w:style>
  <w:style w:type="character" w:styleId="879">
    <w:name w:val="Subtle Reference"/>
    <w:basedOn w:val="855"/>
    <w:uiPriority w:val="31"/>
    <w:qFormat/>
    <w:pPr>
      <w:pBdr/>
      <w:spacing/>
      <w:ind/>
    </w:pPr>
    <w:rPr>
      <w:smallCaps/>
      <w:color w:val="5a5a5a" w:themeColor="text1" w:themeTint="A5"/>
    </w:rPr>
  </w:style>
  <w:style w:type="character" w:styleId="880">
    <w:name w:val="Book Title"/>
    <w:basedOn w:val="855"/>
    <w:uiPriority w:val="33"/>
    <w:qFormat/>
    <w:pPr>
      <w:pBdr/>
      <w:spacing/>
      <w:ind/>
    </w:pPr>
    <w:rPr>
      <w:b/>
      <w:bCs/>
      <w:i/>
      <w:iCs/>
      <w:spacing w:val="5"/>
    </w:rPr>
  </w:style>
  <w:style w:type="paragraph" w:styleId="881">
    <w:name w:val="Header"/>
    <w:basedOn w:val="906"/>
    <w:link w:val="882"/>
    <w:uiPriority w:val="99"/>
    <w:unhideWhenUsed/>
    <w:pPr>
      <w:pBdr/>
      <w:tabs>
        <w:tab w:val="center" w:leader="none" w:pos="4844"/>
        <w:tab w:val="right" w:leader="none" w:pos="9689"/>
      </w:tabs>
      <w:spacing w:after="0" w:line="240" w:lineRule="auto"/>
      <w:ind/>
    </w:pPr>
  </w:style>
  <w:style w:type="character" w:styleId="882">
    <w:name w:val="Header Char"/>
    <w:basedOn w:val="855"/>
    <w:link w:val="881"/>
    <w:uiPriority w:val="99"/>
    <w:pPr>
      <w:pBdr/>
      <w:spacing/>
      <w:ind/>
    </w:pPr>
  </w:style>
  <w:style w:type="paragraph" w:styleId="883">
    <w:name w:val="Footer"/>
    <w:basedOn w:val="906"/>
    <w:link w:val="884"/>
    <w:uiPriority w:val="99"/>
    <w:unhideWhenUsed/>
    <w:pPr>
      <w:pBdr/>
      <w:tabs>
        <w:tab w:val="center" w:leader="none" w:pos="4844"/>
        <w:tab w:val="right" w:leader="none" w:pos="9689"/>
      </w:tabs>
      <w:spacing w:after="0" w:line="240" w:lineRule="auto"/>
      <w:ind/>
    </w:pPr>
  </w:style>
  <w:style w:type="character" w:styleId="884">
    <w:name w:val="Footer Char"/>
    <w:basedOn w:val="855"/>
    <w:link w:val="883"/>
    <w:uiPriority w:val="99"/>
    <w:pPr>
      <w:pBdr/>
      <w:spacing/>
      <w:ind/>
    </w:pPr>
  </w:style>
  <w:style w:type="paragraph" w:styleId="885">
    <w:name w:val="Caption"/>
    <w:basedOn w:val="906"/>
    <w:next w:val="906"/>
    <w:uiPriority w:val="35"/>
    <w:unhideWhenUsed/>
    <w:qFormat/>
    <w:pPr>
      <w:pBdr/>
      <w:spacing w:after="200" w:line="240" w:lineRule="auto"/>
      <w:ind/>
    </w:pPr>
    <w:rPr>
      <w:i/>
      <w:iCs/>
      <w:color w:val="0e2841" w:themeColor="text2"/>
      <w:sz w:val="18"/>
      <w:szCs w:val="18"/>
    </w:rPr>
  </w:style>
  <w:style w:type="paragraph" w:styleId="886">
    <w:name w:val="footnote text"/>
    <w:basedOn w:val="906"/>
    <w:link w:val="887"/>
    <w:uiPriority w:val="99"/>
    <w:semiHidden/>
    <w:unhideWhenUsed/>
    <w:pPr>
      <w:pBdr/>
      <w:spacing w:after="0" w:line="240" w:lineRule="auto"/>
      <w:ind/>
    </w:pPr>
    <w:rPr>
      <w:sz w:val="20"/>
      <w:szCs w:val="20"/>
    </w:rPr>
  </w:style>
  <w:style w:type="character" w:styleId="887">
    <w:name w:val="Footnote Text Char"/>
    <w:basedOn w:val="855"/>
    <w:link w:val="886"/>
    <w:uiPriority w:val="99"/>
    <w:semiHidden/>
    <w:pPr>
      <w:pBdr/>
      <w:spacing/>
      <w:ind/>
    </w:pPr>
    <w:rPr>
      <w:sz w:val="20"/>
      <w:szCs w:val="20"/>
    </w:rPr>
  </w:style>
  <w:style w:type="character" w:styleId="888">
    <w:name w:val="footnote reference"/>
    <w:basedOn w:val="855"/>
    <w:uiPriority w:val="99"/>
    <w:semiHidden/>
    <w:unhideWhenUsed/>
    <w:pPr>
      <w:pBdr/>
      <w:spacing/>
      <w:ind/>
    </w:pPr>
    <w:rPr>
      <w:vertAlign w:val="superscript"/>
    </w:rPr>
  </w:style>
  <w:style w:type="paragraph" w:styleId="889">
    <w:name w:val="endnote text"/>
    <w:basedOn w:val="906"/>
    <w:link w:val="890"/>
    <w:uiPriority w:val="99"/>
    <w:semiHidden/>
    <w:unhideWhenUsed/>
    <w:pPr>
      <w:pBdr/>
      <w:spacing w:after="0" w:line="240" w:lineRule="auto"/>
      <w:ind/>
    </w:pPr>
    <w:rPr>
      <w:sz w:val="20"/>
      <w:szCs w:val="20"/>
    </w:rPr>
  </w:style>
  <w:style w:type="character" w:styleId="890">
    <w:name w:val="Endnote Text Char"/>
    <w:basedOn w:val="855"/>
    <w:link w:val="889"/>
    <w:uiPriority w:val="99"/>
    <w:semiHidden/>
    <w:pPr>
      <w:pBdr/>
      <w:spacing/>
      <w:ind/>
    </w:pPr>
    <w:rPr>
      <w:sz w:val="20"/>
      <w:szCs w:val="20"/>
    </w:rPr>
  </w:style>
  <w:style w:type="character" w:styleId="891">
    <w:name w:val="endnote reference"/>
    <w:basedOn w:val="855"/>
    <w:uiPriority w:val="99"/>
    <w:semiHidden/>
    <w:unhideWhenUsed/>
    <w:pPr>
      <w:pBdr/>
      <w:spacing/>
      <w:ind/>
    </w:pPr>
    <w:rPr>
      <w:vertAlign w:val="superscript"/>
    </w:rPr>
  </w:style>
  <w:style w:type="character" w:styleId="892">
    <w:name w:val="Hyperlink"/>
    <w:basedOn w:val="855"/>
    <w:uiPriority w:val="99"/>
    <w:unhideWhenUsed/>
    <w:pPr>
      <w:pBdr/>
      <w:spacing/>
      <w:ind/>
    </w:pPr>
    <w:rPr>
      <w:color w:val="0563c1" w:themeColor="hyperlink"/>
      <w:u w:val="single"/>
    </w:rPr>
  </w:style>
  <w:style w:type="character" w:styleId="893">
    <w:name w:val="FollowedHyperlink"/>
    <w:basedOn w:val="855"/>
    <w:uiPriority w:val="99"/>
    <w:semiHidden/>
    <w:unhideWhenUsed/>
    <w:pPr>
      <w:pBdr/>
      <w:spacing/>
      <w:ind/>
    </w:pPr>
    <w:rPr>
      <w:color w:val="954f72" w:themeColor="followedHyperlink"/>
      <w:u w:val="single"/>
    </w:rPr>
  </w:style>
  <w:style w:type="paragraph" w:styleId="894">
    <w:name w:val="toc 1"/>
    <w:basedOn w:val="906"/>
    <w:next w:val="906"/>
    <w:uiPriority w:val="39"/>
    <w:unhideWhenUsed/>
    <w:pPr>
      <w:pBdr/>
      <w:spacing w:after="100"/>
      <w:ind/>
    </w:pPr>
  </w:style>
  <w:style w:type="paragraph" w:styleId="895">
    <w:name w:val="toc 2"/>
    <w:basedOn w:val="906"/>
    <w:next w:val="906"/>
    <w:uiPriority w:val="39"/>
    <w:unhideWhenUsed/>
    <w:pPr>
      <w:pBdr/>
      <w:spacing w:after="100"/>
      <w:ind w:left="220"/>
    </w:pPr>
  </w:style>
  <w:style w:type="paragraph" w:styleId="896">
    <w:name w:val="toc 3"/>
    <w:basedOn w:val="906"/>
    <w:next w:val="906"/>
    <w:uiPriority w:val="39"/>
    <w:unhideWhenUsed/>
    <w:pPr>
      <w:pBdr/>
      <w:spacing w:after="100"/>
      <w:ind w:left="440"/>
    </w:pPr>
  </w:style>
  <w:style w:type="paragraph" w:styleId="897">
    <w:name w:val="toc 4"/>
    <w:basedOn w:val="906"/>
    <w:next w:val="906"/>
    <w:uiPriority w:val="39"/>
    <w:unhideWhenUsed/>
    <w:pPr>
      <w:pBdr/>
      <w:spacing w:after="100"/>
      <w:ind w:left="660"/>
    </w:pPr>
  </w:style>
  <w:style w:type="paragraph" w:styleId="898">
    <w:name w:val="toc 5"/>
    <w:basedOn w:val="906"/>
    <w:next w:val="906"/>
    <w:uiPriority w:val="39"/>
    <w:unhideWhenUsed/>
    <w:pPr>
      <w:pBdr/>
      <w:spacing w:after="100"/>
      <w:ind w:left="880"/>
    </w:pPr>
  </w:style>
  <w:style w:type="paragraph" w:styleId="899">
    <w:name w:val="toc 6"/>
    <w:basedOn w:val="906"/>
    <w:next w:val="906"/>
    <w:uiPriority w:val="39"/>
    <w:unhideWhenUsed/>
    <w:pPr>
      <w:pBdr/>
      <w:spacing w:after="100"/>
      <w:ind w:left="1100"/>
    </w:pPr>
  </w:style>
  <w:style w:type="paragraph" w:styleId="900">
    <w:name w:val="toc 7"/>
    <w:basedOn w:val="906"/>
    <w:next w:val="906"/>
    <w:uiPriority w:val="39"/>
    <w:unhideWhenUsed/>
    <w:pPr>
      <w:pBdr/>
      <w:spacing w:after="100"/>
      <w:ind w:left="1320"/>
    </w:pPr>
  </w:style>
  <w:style w:type="paragraph" w:styleId="901">
    <w:name w:val="toc 8"/>
    <w:basedOn w:val="906"/>
    <w:next w:val="906"/>
    <w:uiPriority w:val="39"/>
    <w:unhideWhenUsed/>
    <w:pPr>
      <w:pBdr/>
      <w:spacing w:after="100"/>
      <w:ind w:left="1540"/>
    </w:pPr>
  </w:style>
  <w:style w:type="paragraph" w:styleId="902">
    <w:name w:val="toc 9"/>
    <w:basedOn w:val="906"/>
    <w:next w:val="906"/>
    <w:uiPriority w:val="39"/>
    <w:unhideWhenUsed/>
    <w:pPr>
      <w:pBdr/>
      <w:spacing w:after="100"/>
      <w:ind w:left="1760"/>
    </w:pPr>
  </w:style>
  <w:style w:type="paragraph" w:styleId="903">
    <w:name w:val="TOC Heading"/>
    <w:uiPriority w:val="39"/>
    <w:unhideWhenUsed/>
    <w:pPr>
      <w:pBdr/>
      <w:spacing/>
      <w:ind/>
    </w:pPr>
  </w:style>
  <w:style w:type="paragraph" w:styleId="904">
    <w:name w:val="table of figures"/>
    <w:basedOn w:val="906"/>
    <w:next w:val="906"/>
    <w:uiPriority w:val="99"/>
    <w:unhideWhenUsed/>
    <w:pPr>
      <w:pBdr/>
      <w:spacing w:after="0" w:afterAutospacing="0"/>
      <w:ind/>
    </w:pPr>
  </w:style>
  <w:style w:type="table" w:styleId="905">
    <w:name w:val="TableNormal"/>
    <w:pPr>
      <w:pBdr/>
      <w:spacing/>
      <w:ind/>
    </w:pPr>
    <w:tblPr>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06" w:default="1">
    <w:name w:val="Normal"/>
    <w:pPr>
      <w:pBdr/>
      <w:spacing/>
      <w:ind/>
    </w:pPr>
  </w:style>
  <w:style w:type="paragraph" w:styleId="907">
    <w:name w:val="Heading 1"/>
    <w:basedOn w:val="906"/>
    <w:next w:val="906"/>
    <w:pPr>
      <w:keepNext w:val="true"/>
      <w:keepLines w:val="true"/>
      <w:pageBreakBefore w:val="false"/>
      <w:pBdr/>
      <w:spacing w:after="120" w:before="480"/>
      <w:ind/>
    </w:pPr>
    <w:rPr>
      <w:b/>
      <w:sz w:val="48"/>
      <w:szCs w:val="48"/>
    </w:rPr>
  </w:style>
  <w:style w:type="paragraph" w:styleId="908">
    <w:name w:val="Heading 2"/>
    <w:basedOn w:val="906"/>
    <w:next w:val="906"/>
    <w:pPr>
      <w:keepNext w:val="true"/>
      <w:keepLines w:val="true"/>
      <w:pageBreakBefore w:val="false"/>
      <w:pBdr/>
      <w:spacing w:after="80" w:before="360"/>
      <w:ind/>
    </w:pPr>
    <w:rPr>
      <w:b/>
      <w:sz w:val="36"/>
      <w:szCs w:val="36"/>
    </w:rPr>
  </w:style>
  <w:style w:type="paragraph" w:styleId="909">
    <w:name w:val="Heading 3"/>
    <w:basedOn w:val="906"/>
    <w:next w:val="906"/>
    <w:pPr>
      <w:keepNext w:val="true"/>
      <w:keepLines w:val="true"/>
      <w:pageBreakBefore w:val="false"/>
      <w:pBdr/>
      <w:spacing w:after="80" w:before="280"/>
      <w:ind/>
    </w:pPr>
    <w:rPr>
      <w:b/>
      <w:sz w:val="28"/>
      <w:szCs w:val="28"/>
    </w:rPr>
  </w:style>
  <w:style w:type="paragraph" w:styleId="910">
    <w:name w:val="Heading 4"/>
    <w:basedOn w:val="906"/>
    <w:next w:val="906"/>
    <w:pPr>
      <w:keepNext w:val="true"/>
      <w:keepLines w:val="true"/>
      <w:pageBreakBefore w:val="false"/>
      <w:pBdr/>
      <w:spacing w:after="40" w:before="240"/>
      <w:ind/>
    </w:pPr>
    <w:rPr>
      <w:b/>
      <w:sz w:val="24"/>
      <w:szCs w:val="24"/>
    </w:rPr>
  </w:style>
  <w:style w:type="paragraph" w:styleId="911">
    <w:name w:val="Heading 5"/>
    <w:basedOn w:val="906"/>
    <w:next w:val="906"/>
    <w:pPr>
      <w:keepNext w:val="true"/>
      <w:keepLines w:val="true"/>
      <w:pageBreakBefore w:val="false"/>
      <w:pBdr/>
      <w:spacing w:after="40" w:before="220"/>
      <w:ind/>
    </w:pPr>
    <w:rPr>
      <w:b/>
      <w:sz w:val="22"/>
      <w:szCs w:val="22"/>
    </w:rPr>
  </w:style>
  <w:style w:type="paragraph" w:styleId="912">
    <w:name w:val="Heading 6"/>
    <w:basedOn w:val="906"/>
    <w:next w:val="906"/>
    <w:pPr>
      <w:keepNext w:val="true"/>
      <w:keepLines w:val="true"/>
      <w:pageBreakBefore w:val="false"/>
      <w:pBdr/>
      <w:spacing w:after="40" w:before="200"/>
      <w:ind/>
    </w:pPr>
    <w:rPr>
      <w:b/>
      <w:sz w:val="20"/>
      <w:szCs w:val="20"/>
    </w:rPr>
  </w:style>
  <w:style w:type="paragraph" w:styleId="913">
    <w:name w:val="Title"/>
    <w:basedOn w:val="906"/>
    <w:next w:val="906"/>
    <w:pPr>
      <w:keepNext w:val="true"/>
      <w:keepLines w:val="true"/>
      <w:pageBreakBefore w:val="false"/>
      <w:pBdr/>
      <w:spacing w:after="120" w:before="480"/>
      <w:ind/>
    </w:pPr>
    <w:rPr>
      <w:b/>
      <w:sz w:val="72"/>
      <w:szCs w:val="72"/>
    </w:rPr>
  </w:style>
  <w:style w:type="paragraph" w:styleId="914">
    <w:name w:val="Subtitle"/>
    <w:basedOn w:val="906"/>
    <w:next w:val="906"/>
    <w:pPr>
      <w:keepNext w:val="true"/>
      <w:keepLines w:val="true"/>
      <w:pageBreakBefore w:val="false"/>
      <w:pBdr/>
      <w:spacing w:after="80" w:before="360"/>
      <w:ind/>
    </w:pPr>
    <w:rPr>
      <w:rFonts w:ascii="Georgia" w:hAnsi="Georgia" w:eastAsia="Georgia" w:cs="Georgia"/>
      <w:i/>
      <w:color w:val="666666"/>
      <w:sz w:val="48"/>
      <w:szCs w:val="48"/>
    </w:rPr>
  </w:style>
  <w:style w:type="table" w:styleId="915">
    <w:name w:val="StGen0"/>
    <w:basedOn w:val="905"/>
    <w:pPr>
      <w:pBdr/>
      <w:spacing w:after="0" w:line="240" w:lineRule="auto"/>
      <w:ind/>
    </w:pPr>
    <w:tblPr>
      <w:tblStyleRowBandSize w:val="1"/>
      <w:tblStyleColBandSize w:val="1"/>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onlyoffice/8.3.3.18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 BOUSSET</cp:lastModifiedBy>
  <cp:revision>2</cp:revision>
  <dcterms:modified xsi:type="dcterms:W3CDTF">2025-10-10T08:17:04Z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